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01A580" w14:textId="617868F3" w:rsidR="006F3B5C" w:rsidRPr="00BB61D1" w:rsidRDefault="008C0170" w:rsidP="00BB61D1">
      <w:pPr>
        <w:jc w:val="center"/>
        <w:rPr>
          <w:rFonts w:ascii="Palatino Linotype" w:hAnsi="Palatino Linotype"/>
          <w:b/>
          <w:bCs/>
          <w:sz w:val="22"/>
          <w:szCs w:val="22"/>
        </w:rPr>
      </w:pPr>
      <w:r w:rsidRPr="00824506">
        <w:rPr>
          <w:rFonts w:ascii="Palatino Linotype" w:hAnsi="Palatino Linotype"/>
          <w:b/>
          <w:bCs/>
          <w:sz w:val="22"/>
          <w:szCs w:val="22"/>
        </w:rPr>
        <w:t xml:space="preserve">Upaya Preventif Tindak Kekerasan Pada Remaja </w:t>
      </w:r>
      <w:proofErr w:type="gramStart"/>
      <w:r w:rsidRPr="00824506">
        <w:rPr>
          <w:rFonts w:ascii="Palatino Linotype" w:hAnsi="Palatino Linotype"/>
          <w:b/>
          <w:bCs/>
          <w:sz w:val="22"/>
          <w:szCs w:val="22"/>
        </w:rPr>
        <w:t>Usia</w:t>
      </w:r>
      <w:proofErr w:type="gramEnd"/>
      <w:r w:rsidRPr="00824506">
        <w:rPr>
          <w:rFonts w:ascii="Palatino Linotype" w:hAnsi="Palatino Linotype"/>
          <w:b/>
          <w:bCs/>
          <w:sz w:val="22"/>
          <w:szCs w:val="22"/>
        </w:rPr>
        <w:t xml:space="preserve"> 12 – 19 Tahun Melalui Bimbingan Penyuluhan Islam</w:t>
      </w:r>
    </w:p>
    <w:p w14:paraId="202D832A" w14:textId="02C6BF0D" w:rsidR="006F3B5C" w:rsidRPr="00824506" w:rsidRDefault="008C0170" w:rsidP="008C0170">
      <w:pPr>
        <w:spacing w:before="240" w:line="276" w:lineRule="auto"/>
        <w:jc w:val="center"/>
        <w:rPr>
          <w:rFonts w:ascii="Palatino Linotype" w:hAnsi="Palatino Linotype"/>
          <w:sz w:val="22"/>
          <w:szCs w:val="22"/>
        </w:rPr>
      </w:pPr>
      <w:r w:rsidRPr="00652C08">
        <w:rPr>
          <w:rFonts w:ascii="Palatino Linotype" w:hAnsi="Palatino Linotype"/>
          <w:b/>
          <w:bCs/>
          <w:color w:val="000000"/>
          <w:sz w:val="22"/>
          <w:szCs w:val="22"/>
        </w:rPr>
        <w:t>Nasriani</w:t>
      </w:r>
      <w:r w:rsidR="00652C08" w:rsidRPr="00652C08">
        <w:rPr>
          <w:rFonts w:ascii="Palatino Linotype" w:hAnsi="Palatino Linotype"/>
          <w:b/>
          <w:bCs/>
          <w:color w:val="000000"/>
          <w:sz w:val="22"/>
          <w:szCs w:val="22"/>
          <w:vertAlign w:val="superscript"/>
        </w:rPr>
        <w:t>1</w:t>
      </w:r>
      <w:r w:rsidRPr="00824506">
        <w:rPr>
          <w:rFonts w:ascii="Palatino Linotype" w:hAnsi="Palatino Linotype"/>
          <w:b/>
          <w:bCs/>
          <w:color w:val="000000"/>
          <w:sz w:val="22"/>
          <w:szCs w:val="22"/>
        </w:rPr>
        <w:t>,</w:t>
      </w:r>
      <w:r w:rsidR="006F3B5C" w:rsidRPr="00824506">
        <w:rPr>
          <w:rFonts w:ascii="Palatino Linotype" w:hAnsi="Palatino Linotype"/>
          <w:b/>
          <w:bCs/>
          <w:color w:val="000000"/>
          <w:sz w:val="22"/>
          <w:szCs w:val="22"/>
        </w:rPr>
        <w:t xml:space="preserve"> </w:t>
      </w:r>
      <w:r w:rsidRPr="00824506">
        <w:rPr>
          <w:rFonts w:ascii="Palatino Linotype" w:hAnsi="Palatino Linotype"/>
          <w:b/>
          <w:bCs/>
          <w:color w:val="000000"/>
          <w:sz w:val="22"/>
          <w:szCs w:val="22"/>
        </w:rPr>
        <w:t>Andi Nurindah Sari</w:t>
      </w:r>
      <w:r w:rsidR="00652C08" w:rsidRPr="00652C08">
        <w:rPr>
          <w:rFonts w:ascii="Palatino Linotype" w:hAnsi="Palatino Linotype"/>
          <w:b/>
          <w:bCs/>
          <w:color w:val="000000"/>
          <w:sz w:val="22"/>
          <w:szCs w:val="22"/>
          <w:vertAlign w:val="superscript"/>
        </w:rPr>
        <w:t>2</w:t>
      </w:r>
      <w:r w:rsidR="006F3B5C" w:rsidRPr="00824506">
        <w:rPr>
          <w:rFonts w:ascii="Palatino Linotype" w:hAnsi="Palatino Linotype"/>
          <w:b/>
          <w:bCs/>
          <w:color w:val="000000"/>
          <w:sz w:val="22"/>
          <w:szCs w:val="22"/>
        </w:rPr>
        <w:t xml:space="preserve">, </w:t>
      </w:r>
    </w:p>
    <w:p w14:paraId="3923CBBF" w14:textId="4AA8D8CC" w:rsidR="008C0170" w:rsidRPr="00824506" w:rsidRDefault="008C0170" w:rsidP="006F3B5C">
      <w:pPr>
        <w:spacing w:before="240" w:line="276" w:lineRule="auto"/>
        <w:jc w:val="center"/>
        <w:rPr>
          <w:rFonts w:ascii="Palatino Linotype" w:hAnsi="Palatino Linotype"/>
          <w:sz w:val="22"/>
          <w:szCs w:val="22"/>
        </w:rPr>
      </w:pPr>
      <w:r w:rsidRPr="00824506">
        <w:rPr>
          <w:rFonts w:ascii="Palatino Linotype" w:hAnsi="Palatino Linotype"/>
          <w:i/>
          <w:iCs/>
          <w:color w:val="000000"/>
          <w:sz w:val="22"/>
          <w:szCs w:val="22"/>
        </w:rPr>
        <w:t>Institut Agama Islam Negeri Parepare, Indonesia</w:t>
      </w:r>
    </w:p>
    <w:p w14:paraId="5E7250BE" w14:textId="40B2FCC2" w:rsidR="006C616B" w:rsidRDefault="00652C08" w:rsidP="00BB61D1">
      <w:pPr>
        <w:spacing w:before="240" w:line="276" w:lineRule="auto"/>
        <w:jc w:val="center"/>
        <w:rPr>
          <w:rFonts w:ascii="Palatino Linotype" w:hAnsi="Palatino Linotype"/>
          <w:i/>
          <w:iCs/>
          <w:color w:val="000000"/>
          <w:sz w:val="22"/>
          <w:szCs w:val="22"/>
          <w:vertAlign w:val="superscript"/>
        </w:rPr>
      </w:pPr>
      <w:r w:rsidRPr="00652C08">
        <w:rPr>
          <w:vertAlign w:val="superscript"/>
        </w:rPr>
        <w:t>1</w:t>
      </w:r>
      <w:r>
        <w:t xml:space="preserve"> </w:t>
      </w:r>
      <w:hyperlink r:id="rId9" w:history="1">
        <w:r w:rsidR="008C0170" w:rsidRPr="00824506">
          <w:rPr>
            <w:rStyle w:val="Hyperlink"/>
            <w:rFonts w:ascii="Palatino Linotype" w:hAnsi="Palatino Linotype"/>
            <w:i/>
            <w:iCs/>
            <w:sz w:val="22"/>
            <w:szCs w:val="22"/>
          </w:rPr>
          <w:t>Aninasriani177@gmail.com</w:t>
        </w:r>
      </w:hyperlink>
      <w:r>
        <w:rPr>
          <w:rFonts w:ascii="Palatino Linotype" w:hAnsi="Palatino Linotype"/>
          <w:i/>
          <w:iCs/>
          <w:color w:val="000000"/>
          <w:sz w:val="22"/>
          <w:szCs w:val="22"/>
        </w:rPr>
        <w:t xml:space="preserve"> </w:t>
      </w:r>
      <w:hyperlink r:id="rId10" w:history="1">
        <w:r w:rsidRPr="004826FD">
          <w:rPr>
            <w:rStyle w:val="Hyperlink"/>
            <w:rFonts w:ascii="Palatino Linotype" w:hAnsi="Palatino Linotype"/>
            <w:i/>
            <w:iCs/>
            <w:sz w:val="22"/>
            <w:szCs w:val="22"/>
          </w:rPr>
          <w:t>andinurindahsari@iainpare.ac.id</w:t>
        </w:r>
      </w:hyperlink>
      <w:r>
        <w:rPr>
          <w:rFonts w:ascii="Palatino Linotype" w:hAnsi="Palatino Linotype"/>
          <w:i/>
          <w:iCs/>
          <w:color w:val="000000"/>
          <w:sz w:val="22"/>
          <w:szCs w:val="22"/>
        </w:rPr>
        <w:t xml:space="preserve"> </w:t>
      </w:r>
      <w:r w:rsidRPr="00652C08">
        <w:rPr>
          <w:rFonts w:ascii="Palatino Linotype" w:hAnsi="Palatino Linotype"/>
          <w:i/>
          <w:iCs/>
          <w:color w:val="000000"/>
          <w:sz w:val="22"/>
          <w:szCs w:val="22"/>
          <w:vertAlign w:val="superscript"/>
        </w:rPr>
        <w:t>2</w:t>
      </w:r>
    </w:p>
    <w:p w14:paraId="4F8F3FF1" w14:textId="77777777" w:rsidR="006C616B" w:rsidRDefault="006C616B" w:rsidP="006C616B">
      <w:pPr>
        <w:spacing w:line="360" w:lineRule="auto"/>
        <w:jc w:val="center"/>
        <w:rPr>
          <w:rFonts w:ascii="Palatino Linotype" w:hAnsi="Palatino Linotype"/>
          <w:b/>
          <w:i/>
          <w:iCs/>
          <w:color w:val="000000"/>
          <w:sz w:val="22"/>
          <w:szCs w:val="22"/>
        </w:rPr>
      </w:pPr>
    </w:p>
    <w:p w14:paraId="2D976AAE" w14:textId="2EA3D848" w:rsidR="006C616B" w:rsidRDefault="006C616B" w:rsidP="006C616B">
      <w:pPr>
        <w:spacing w:line="360" w:lineRule="auto"/>
        <w:jc w:val="center"/>
        <w:rPr>
          <w:rFonts w:ascii="Palatino Linotype" w:hAnsi="Palatino Linotype"/>
          <w:b/>
          <w:i/>
          <w:iCs/>
          <w:color w:val="000000"/>
          <w:sz w:val="22"/>
          <w:szCs w:val="22"/>
        </w:rPr>
      </w:pPr>
      <w:r w:rsidRPr="006C616B">
        <w:rPr>
          <w:rFonts w:ascii="Palatino Linotype" w:hAnsi="Palatino Linotype"/>
          <w:b/>
          <w:i/>
          <w:iCs/>
          <w:color w:val="000000"/>
          <w:sz w:val="22"/>
          <w:szCs w:val="22"/>
        </w:rPr>
        <w:t>Abstract</w:t>
      </w:r>
    </w:p>
    <w:p w14:paraId="4EB995C1" w14:textId="228318AC" w:rsidR="006C616B" w:rsidRDefault="006C616B" w:rsidP="006C616B">
      <w:pPr>
        <w:jc w:val="both"/>
        <w:rPr>
          <w:rFonts w:ascii="Palatino Linotype" w:hAnsi="Palatino Linotype"/>
          <w:i/>
          <w:iCs/>
          <w:color w:val="000000"/>
          <w:sz w:val="22"/>
          <w:szCs w:val="22"/>
        </w:rPr>
      </w:pPr>
      <w:r w:rsidRPr="006C616B">
        <w:rPr>
          <w:rFonts w:ascii="Palatino Linotype" w:hAnsi="Palatino Linotype"/>
          <w:i/>
          <w:iCs/>
          <w:color w:val="000000"/>
          <w:sz w:val="22"/>
          <w:szCs w:val="22"/>
        </w:rPr>
        <w:t>This study aims to identify the factors that cause violence in adolescents aged 12-19 years and evaluate the effectiveness of preventive efforts through Islamic Guidance and Counseling. The research method used is qualitative with a descriptive-explorative design, and data collection techniques through Focus Group Discussion (FGD), socialization, counseling, and in-depth interviews. FGDs explored adolescents' experiences of violence, while socialization aimed to educate about the dangers of violence and its prevention. Interviews were conducted with adolescent victims of violence and service providers such as counselors and health workers. Data were analyzed using thematic analysis to identify main themes such as individual, family, school, and social environment factors. The results showed the main factors causing violence were mental health, poor family dynamics, unsafe school environment, and peer influence. Socialization programs and counseling services have had a positive impact, but challenges related to access and resources remain. This study suggests the need for an integrated preventive approach involving families, schools and communities to create a safer environment for adolescents.</w:t>
      </w:r>
    </w:p>
    <w:p w14:paraId="1A5630C4" w14:textId="77777777" w:rsidR="006C616B" w:rsidRDefault="006C616B">
      <w:pPr>
        <w:spacing w:line="360" w:lineRule="auto"/>
        <w:rPr>
          <w:rFonts w:ascii="Palatino Linotype" w:hAnsi="Palatino Linotype"/>
          <w:i/>
          <w:iCs/>
          <w:color w:val="000000"/>
          <w:sz w:val="22"/>
          <w:szCs w:val="22"/>
        </w:rPr>
      </w:pPr>
      <w:r>
        <w:rPr>
          <w:rFonts w:ascii="Palatino Linotype" w:hAnsi="Palatino Linotype"/>
          <w:i/>
          <w:iCs/>
          <w:color w:val="000000"/>
          <w:sz w:val="22"/>
          <w:szCs w:val="22"/>
        </w:rPr>
        <w:br w:type="page"/>
      </w:r>
    </w:p>
    <w:p w14:paraId="72F7ABB4" w14:textId="77777777" w:rsidR="006F3B5C" w:rsidRPr="006C616B" w:rsidRDefault="006F3B5C" w:rsidP="006C616B">
      <w:pPr>
        <w:jc w:val="both"/>
        <w:rPr>
          <w:rFonts w:ascii="Palatino Linotype" w:hAnsi="Palatino Linotype"/>
          <w:i/>
          <w:iCs/>
          <w:color w:val="000000"/>
          <w:sz w:val="22"/>
          <w:szCs w:val="22"/>
        </w:rPr>
      </w:pPr>
    </w:p>
    <w:p w14:paraId="62906974" w14:textId="77777777" w:rsidR="006F3B5C" w:rsidRPr="00824506" w:rsidRDefault="006F3B5C" w:rsidP="006C616B">
      <w:pPr>
        <w:spacing w:before="240"/>
        <w:rPr>
          <w:rFonts w:ascii="Palatino Linotype" w:hAnsi="Palatino Linotype"/>
          <w:sz w:val="22"/>
          <w:szCs w:val="22"/>
        </w:rPr>
      </w:pPr>
      <w:bookmarkStart w:id="0" w:name="_GoBack"/>
      <w:r w:rsidRPr="00824506">
        <w:rPr>
          <w:rFonts w:ascii="Palatino Linotype" w:hAnsi="Palatino Linotype"/>
          <w:b/>
          <w:bCs/>
          <w:color w:val="000000"/>
          <w:sz w:val="22"/>
          <w:szCs w:val="22"/>
        </w:rPr>
        <w:t>Abstrak</w:t>
      </w:r>
    </w:p>
    <w:bookmarkEnd w:id="0"/>
    <w:p w14:paraId="1F809B6D" w14:textId="77777777" w:rsidR="00F01E9C" w:rsidRPr="00F01E9C" w:rsidRDefault="00F01E9C" w:rsidP="00F01E9C">
      <w:pPr>
        <w:spacing w:before="100" w:beforeAutospacing="1" w:after="100" w:afterAutospacing="1"/>
        <w:jc w:val="both"/>
        <w:rPr>
          <w:rFonts w:ascii="Palatino Linotype" w:hAnsi="Palatino Linotype"/>
          <w:szCs w:val="24"/>
        </w:rPr>
      </w:pPr>
      <w:r w:rsidRPr="00F01E9C">
        <w:rPr>
          <w:rFonts w:ascii="Palatino Linotype" w:hAnsi="Palatino Linotype"/>
          <w:szCs w:val="24"/>
        </w:rPr>
        <w:t xml:space="preserve">Penelitian ini bertujuan untuk mengidentifikasi faktor-faktor penyebab kekerasan pada remaja </w:t>
      </w:r>
      <w:proofErr w:type="gramStart"/>
      <w:r w:rsidRPr="00F01E9C">
        <w:rPr>
          <w:rFonts w:ascii="Palatino Linotype" w:hAnsi="Palatino Linotype"/>
          <w:szCs w:val="24"/>
        </w:rPr>
        <w:t>usia</w:t>
      </w:r>
      <w:proofErr w:type="gramEnd"/>
      <w:r w:rsidRPr="00F01E9C">
        <w:rPr>
          <w:rFonts w:ascii="Palatino Linotype" w:hAnsi="Palatino Linotype"/>
          <w:szCs w:val="24"/>
        </w:rPr>
        <w:t xml:space="preserve"> 12–19 tahun dan mengevaluasi efektivitas upaya preventif melalui Bimbingan dan Penyuluhan Islam. </w:t>
      </w:r>
      <w:proofErr w:type="gramStart"/>
      <w:r w:rsidRPr="00F01E9C">
        <w:rPr>
          <w:rFonts w:ascii="Palatino Linotype" w:hAnsi="Palatino Linotype"/>
          <w:szCs w:val="24"/>
        </w:rPr>
        <w:t xml:space="preserve">Metode penelitian yang digunakan adalah kualitatif dengan desain deskriptif-eksploratif, serta teknik pengumpulan data melalui </w:t>
      </w:r>
      <w:r w:rsidRPr="00F01E9C">
        <w:rPr>
          <w:rFonts w:ascii="Palatino Linotype" w:hAnsi="Palatino Linotype"/>
          <w:i/>
          <w:szCs w:val="24"/>
        </w:rPr>
        <w:t>Focus Group Discussion</w:t>
      </w:r>
      <w:r w:rsidRPr="00F01E9C">
        <w:rPr>
          <w:rFonts w:ascii="Palatino Linotype" w:hAnsi="Palatino Linotype"/>
          <w:szCs w:val="24"/>
        </w:rPr>
        <w:t xml:space="preserve"> (FGD), sosialisasi, penyuluhan, dan wawancara mendalam.</w:t>
      </w:r>
      <w:proofErr w:type="gramEnd"/>
      <w:r w:rsidRPr="00F01E9C">
        <w:rPr>
          <w:rFonts w:ascii="Palatino Linotype" w:hAnsi="Palatino Linotype"/>
          <w:szCs w:val="24"/>
        </w:rPr>
        <w:t xml:space="preserve"> </w:t>
      </w:r>
      <w:proofErr w:type="gramStart"/>
      <w:r w:rsidRPr="00F01E9C">
        <w:rPr>
          <w:rFonts w:ascii="Palatino Linotype" w:hAnsi="Palatino Linotype"/>
          <w:szCs w:val="24"/>
        </w:rPr>
        <w:t>FGD menggali pengalaman remaja mengenai kekerasan, sementara sosialisasi bertujuan memberi edukasi tentang bahaya kekerasan dan pencegahannya.</w:t>
      </w:r>
      <w:proofErr w:type="gramEnd"/>
      <w:r w:rsidRPr="00F01E9C">
        <w:rPr>
          <w:rFonts w:ascii="Palatino Linotype" w:hAnsi="Palatino Linotype"/>
          <w:szCs w:val="24"/>
        </w:rPr>
        <w:t xml:space="preserve"> </w:t>
      </w:r>
      <w:proofErr w:type="gramStart"/>
      <w:r w:rsidRPr="00F01E9C">
        <w:rPr>
          <w:rFonts w:ascii="Palatino Linotype" w:hAnsi="Palatino Linotype"/>
          <w:szCs w:val="24"/>
        </w:rPr>
        <w:t>Wawancara dilakukan dengan remaja korban kekerasan dan penyedia layanan seperti konselor dan petugas kesehatan.</w:t>
      </w:r>
      <w:proofErr w:type="gramEnd"/>
      <w:r w:rsidRPr="00F01E9C">
        <w:rPr>
          <w:rFonts w:ascii="Palatino Linotype" w:hAnsi="Palatino Linotype"/>
          <w:szCs w:val="24"/>
        </w:rPr>
        <w:t xml:space="preserve"> </w:t>
      </w:r>
      <w:proofErr w:type="gramStart"/>
      <w:r w:rsidRPr="00F01E9C">
        <w:rPr>
          <w:rFonts w:ascii="Palatino Linotype" w:hAnsi="Palatino Linotype"/>
          <w:szCs w:val="24"/>
        </w:rPr>
        <w:t>Data dianalisis dengan metode analisis tematik untuk mengidentifikasi tema utama seperti faktor individu, keluarga, sekolah, dan lingkungan sosial.</w:t>
      </w:r>
      <w:proofErr w:type="gramEnd"/>
      <w:r w:rsidRPr="00F01E9C">
        <w:rPr>
          <w:rFonts w:ascii="Palatino Linotype" w:hAnsi="Palatino Linotype"/>
          <w:szCs w:val="24"/>
        </w:rPr>
        <w:t xml:space="preserve"> </w:t>
      </w:r>
      <w:proofErr w:type="gramStart"/>
      <w:r w:rsidRPr="00F01E9C">
        <w:rPr>
          <w:rFonts w:ascii="Palatino Linotype" w:hAnsi="Palatino Linotype"/>
          <w:szCs w:val="24"/>
        </w:rPr>
        <w:t>Hasil penelitian menunjukkan faktor-faktor utama penyebab kekerasan adalah kesehatan mental, dinamika keluarga yang buruk, lingkungan sekolah yang tidak aman, dan pengaruh teman sebaya.</w:t>
      </w:r>
      <w:proofErr w:type="gramEnd"/>
      <w:r w:rsidRPr="00F01E9C">
        <w:rPr>
          <w:rFonts w:ascii="Palatino Linotype" w:hAnsi="Palatino Linotype"/>
          <w:szCs w:val="24"/>
        </w:rPr>
        <w:t xml:space="preserve"> </w:t>
      </w:r>
      <w:proofErr w:type="gramStart"/>
      <w:r w:rsidRPr="00F01E9C">
        <w:rPr>
          <w:rFonts w:ascii="Palatino Linotype" w:hAnsi="Palatino Linotype"/>
          <w:szCs w:val="24"/>
        </w:rPr>
        <w:t>Program sosialisasi dan layanan konseling memberikan dampak positif, namun tantangan terkait akses dan sumber daya masih menjadi kendala.</w:t>
      </w:r>
      <w:proofErr w:type="gramEnd"/>
      <w:r w:rsidRPr="00F01E9C">
        <w:rPr>
          <w:rFonts w:ascii="Palatino Linotype" w:hAnsi="Palatino Linotype"/>
          <w:szCs w:val="24"/>
        </w:rPr>
        <w:t xml:space="preserve"> </w:t>
      </w:r>
      <w:proofErr w:type="gramStart"/>
      <w:r w:rsidRPr="00F01E9C">
        <w:rPr>
          <w:rFonts w:ascii="Palatino Linotype" w:hAnsi="Palatino Linotype"/>
          <w:szCs w:val="24"/>
        </w:rPr>
        <w:t>Penelitian ini menyarankan perlunya pendekatan preventif terintegrasi yang melibatkan keluarga, sekolah, dan masyarakat untuk menciptakan lingkungan yang lebih aman bagi remaja.</w:t>
      </w:r>
      <w:proofErr w:type="gramEnd"/>
    </w:p>
    <w:p w14:paraId="4E46BBC5" w14:textId="5C809E64" w:rsidR="006F3B5C" w:rsidRPr="00824506" w:rsidRDefault="006F3B5C" w:rsidP="006F3B5C">
      <w:pPr>
        <w:spacing w:before="240"/>
        <w:jc w:val="both"/>
        <w:rPr>
          <w:rFonts w:ascii="Palatino Linotype" w:hAnsi="Palatino Linotype"/>
          <w:sz w:val="22"/>
          <w:szCs w:val="22"/>
        </w:rPr>
      </w:pPr>
      <w:r w:rsidRPr="00824506">
        <w:rPr>
          <w:rFonts w:ascii="Palatino Linotype" w:hAnsi="Palatino Linotype"/>
          <w:b/>
          <w:bCs/>
          <w:color w:val="000000"/>
          <w:sz w:val="22"/>
          <w:szCs w:val="22"/>
        </w:rPr>
        <w:t>Kata kunci:</w:t>
      </w:r>
      <w:r w:rsidRPr="00824506">
        <w:rPr>
          <w:rFonts w:ascii="Palatino Linotype" w:hAnsi="Palatino Linotype"/>
          <w:i/>
          <w:iCs/>
          <w:color w:val="000000"/>
          <w:sz w:val="22"/>
          <w:szCs w:val="22"/>
        </w:rPr>
        <w:t>  </w:t>
      </w:r>
      <w:r w:rsidR="0061706F" w:rsidRPr="0061706F">
        <w:rPr>
          <w:i/>
        </w:rPr>
        <w:t xml:space="preserve">Upaya preventif; Kekerasan pada remaja; Bimbingan Penyuluhan Islam; Pencegahan kekerasan; Remaja </w:t>
      </w:r>
      <w:proofErr w:type="gramStart"/>
      <w:r w:rsidR="0061706F" w:rsidRPr="0061706F">
        <w:rPr>
          <w:i/>
        </w:rPr>
        <w:t>usia</w:t>
      </w:r>
      <w:proofErr w:type="gramEnd"/>
      <w:r w:rsidR="0061706F" w:rsidRPr="0061706F">
        <w:rPr>
          <w:i/>
        </w:rPr>
        <w:t xml:space="preserve"> 12-19 tahun</w:t>
      </w:r>
    </w:p>
    <w:p w14:paraId="0A9E63C3" w14:textId="77777777" w:rsidR="006F3B5C" w:rsidRDefault="006F3B5C" w:rsidP="006F3B5C">
      <w:pPr>
        <w:spacing w:before="240" w:after="240" w:line="276" w:lineRule="auto"/>
        <w:rPr>
          <w:rFonts w:ascii="Palatino Linotype" w:hAnsi="Palatino Linotype"/>
          <w:color w:val="000000"/>
          <w:sz w:val="22"/>
          <w:szCs w:val="22"/>
        </w:rPr>
      </w:pPr>
      <w:r w:rsidRPr="00824506">
        <w:rPr>
          <w:rFonts w:ascii="Palatino Linotype" w:hAnsi="Palatino Linotype"/>
          <w:color w:val="000000"/>
          <w:sz w:val="22"/>
          <w:szCs w:val="22"/>
        </w:rPr>
        <w:t> </w:t>
      </w:r>
    </w:p>
    <w:p w14:paraId="3A0FD3C8" w14:textId="77777777" w:rsidR="00803839" w:rsidRDefault="00803839" w:rsidP="006F3B5C">
      <w:pPr>
        <w:spacing w:before="240" w:after="240" w:line="276" w:lineRule="auto"/>
        <w:rPr>
          <w:rFonts w:ascii="Palatino Linotype" w:hAnsi="Palatino Linotype"/>
          <w:color w:val="000000"/>
          <w:sz w:val="22"/>
          <w:szCs w:val="22"/>
        </w:rPr>
      </w:pPr>
    </w:p>
    <w:p w14:paraId="0C3C6737" w14:textId="77777777" w:rsidR="00803839" w:rsidRPr="00824506" w:rsidRDefault="00803839" w:rsidP="006F3B5C">
      <w:pPr>
        <w:spacing w:before="240" w:after="240" w:line="276" w:lineRule="auto"/>
        <w:rPr>
          <w:rFonts w:ascii="Palatino Linotype" w:hAnsi="Palatino Linotype"/>
          <w:sz w:val="22"/>
          <w:szCs w:val="22"/>
        </w:rPr>
      </w:pPr>
    </w:p>
    <w:p w14:paraId="7965F898" w14:textId="77777777" w:rsidR="006F3B5C" w:rsidRPr="00824506" w:rsidRDefault="006F3B5C" w:rsidP="006F3B5C">
      <w:pPr>
        <w:spacing w:before="240" w:line="276" w:lineRule="auto"/>
        <w:rPr>
          <w:rFonts w:ascii="Palatino Linotype" w:hAnsi="Palatino Linotype"/>
          <w:sz w:val="22"/>
          <w:szCs w:val="22"/>
        </w:rPr>
      </w:pPr>
      <w:r w:rsidRPr="00824506">
        <w:rPr>
          <w:rFonts w:ascii="Palatino Linotype" w:hAnsi="Palatino Linotype"/>
          <w:b/>
          <w:bCs/>
          <w:color w:val="000000"/>
          <w:sz w:val="22"/>
          <w:szCs w:val="22"/>
        </w:rPr>
        <w:t>Pendahuluan</w:t>
      </w:r>
    </w:p>
    <w:p w14:paraId="304854D9" w14:textId="6E48AC83" w:rsidR="008C0170" w:rsidRPr="00340462" w:rsidRDefault="008C0170" w:rsidP="00DA3F4D">
      <w:pPr>
        <w:spacing w:before="100" w:beforeAutospacing="1" w:after="100" w:afterAutospacing="1" w:line="276" w:lineRule="auto"/>
        <w:ind w:firstLine="720"/>
        <w:jc w:val="both"/>
        <w:rPr>
          <w:rFonts w:ascii="Palatino Linotype" w:hAnsi="Palatino Linotype"/>
          <w:sz w:val="22"/>
          <w:szCs w:val="22"/>
        </w:rPr>
      </w:pPr>
      <w:r w:rsidRPr="00340462">
        <w:rPr>
          <w:rFonts w:ascii="Palatino Linotype" w:hAnsi="Palatino Linotype"/>
          <w:sz w:val="22"/>
          <w:szCs w:val="22"/>
        </w:rPr>
        <w:t xml:space="preserve">Kekerasan terhadap remaja </w:t>
      </w:r>
      <w:proofErr w:type="gramStart"/>
      <w:r w:rsidRPr="00340462">
        <w:rPr>
          <w:rFonts w:ascii="Palatino Linotype" w:hAnsi="Palatino Linotype"/>
          <w:sz w:val="22"/>
          <w:szCs w:val="22"/>
        </w:rPr>
        <w:t>usia</w:t>
      </w:r>
      <w:proofErr w:type="gramEnd"/>
      <w:r w:rsidRPr="00340462">
        <w:rPr>
          <w:rFonts w:ascii="Palatino Linotype" w:hAnsi="Palatino Linotype"/>
          <w:sz w:val="22"/>
          <w:szCs w:val="22"/>
        </w:rPr>
        <w:t xml:space="preserve"> 12-19 tahun merupakan permasalahan sosial yang mendesak dan kompleks di Indonesia. Data Komnas Perlindungan Anak pada tahun 2022 mencatat 2.342 kasus kekerasan terhadap anak, dengan 1.016 di antaranya berupa kekerasan </w:t>
      </w:r>
      <w:r w:rsidRPr="00340462">
        <w:rPr>
          <w:rFonts w:ascii="Palatino Linotype" w:hAnsi="Palatino Linotype"/>
          <w:sz w:val="22"/>
          <w:szCs w:val="22"/>
        </w:rPr>
        <w:lastRenderedPageBreak/>
        <w:t xml:space="preserve">fisik. </w:t>
      </w:r>
      <w:proofErr w:type="gramStart"/>
      <w:r w:rsidRPr="00340462">
        <w:rPr>
          <w:rFonts w:ascii="Palatino Linotype" w:hAnsi="Palatino Linotype"/>
          <w:sz w:val="22"/>
          <w:szCs w:val="22"/>
        </w:rPr>
        <w:t>Angka ini menunjukkan bahwa remaja sebagai salah satu kelompok rentan masih menghadapi risiko kekerasan yang signifikan, baik dalam bentuk fisik, verbal, maupun psikologis.</w:t>
      </w:r>
      <w:proofErr w:type="gramEnd"/>
      <w:r w:rsidR="004E229A">
        <w:rPr>
          <w:rStyle w:val="FootnoteReference"/>
        </w:rPr>
        <w:footnoteReference w:id="1"/>
      </w:r>
      <w:r w:rsidR="00443E27" w:rsidRPr="00340462">
        <w:rPr>
          <w:rFonts w:ascii="Palatino Linotype" w:hAnsi="Palatino Linotype"/>
          <w:sz w:val="22"/>
          <w:szCs w:val="22"/>
        </w:rPr>
        <w:t xml:space="preserve"> </w:t>
      </w:r>
      <w:proofErr w:type="gramStart"/>
      <w:r w:rsidRPr="00340462">
        <w:rPr>
          <w:rFonts w:ascii="Palatino Linotype" w:hAnsi="Palatino Linotype"/>
          <w:sz w:val="22"/>
          <w:szCs w:val="22"/>
        </w:rPr>
        <w:t>Faktor yang memicu tindak kekerasan ini bersifat multidimensional, mulai dari lingkungan keluarga yang disfungsional, tekanan sosial, hingga pengaruh negatif dari media digital.</w:t>
      </w:r>
      <w:proofErr w:type="gramEnd"/>
      <w:r w:rsidR="004E229A">
        <w:rPr>
          <w:rStyle w:val="FootnoteReference"/>
        </w:rPr>
        <w:footnoteReference w:id="2"/>
      </w:r>
      <w:r w:rsidR="00443E27">
        <w:rPr>
          <w:rFonts w:ascii="Palatino Linotype" w:hAnsi="Palatino Linotype"/>
          <w:sz w:val="22"/>
          <w:szCs w:val="22"/>
        </w:rPr>
        <w:t xml:space="preserve"> </w:t>
      </w:r>
      <w:proofErr w:type="gramStart"/>
      <w:r w:rsidRPr="00340462">
        <w:rPr>
          <w:rFonts w:ascii="Palatino Linotype" w:hAnsi="Palatino Linotype"/>
          <w:sz w:val="22"/>
          <w:szCs w:val="22"/>
        </w:rPr>
        <w:t xml:space="preserve">Fenomena ini diperparah oleh kehadiran media sosial dan internet yang menghadirkan bentuk-bentuk kekerasan baru seperti </w:t>
      </w:r>
      <w:r w:rsidRPr="00340462">
        <w:rPr>
          <w:rFonts w:ascii="Palatino Linotype" w:hAnsi="Palatino Linotype"/>
          <w:bCs/>
          <w:sz w:val="22"/>
          <w:szCs w:val="22"/>
        </w:rPr>
        <w:t>cyberbullying</w:t>
      </w:r>
      <w:r w:rsidRPr="00340462">
        <w:rPr>
          <w:rFonts w:ascii="Palatino Linotype" w:hAnsi="Palatino Linotype"/>
          <w:sz w:val="22"/>
          <w:szCs w:val="22"/>
        </w:rPr>
        <w:t xml:space="preserve"> dan pelecehan online.</w:t>
      </w:r>
      <w:proofErr w:type="gramEnd"/>
      <w:r w:rsidR="004E229A">
        <w:rPr>
          <w:rStyle w:val="FootnoteReference"/>
        </w:rPr>
        <w:footnoteReference w:id="3"/>
      </w:r>
      <w:r w:rsidRPr="00340462">
        <w:rPr>
          <w:rFonts w:ascii="Palatino Linotype" w:hAnsi="Palatino Linotype"/>
          <w:sz w:val="22"/>
          <w:szCs w:val="22"/>
        </w:rPr>
        <w:t xml:space="preserve"> </w:t>
      </w:r>
      <w:proofErr w:type="gramStart"/>
      <w:r w:rsidRPr="00340462">
        <w:rPr>
          <w:rFonts w:ascii="Palatino Linotype" w:hAnsi="Palatino Linotype"/>
          <w:i/>
          <w:sz w:val="22"/>
          <w:szCs w:val="22"/>
        </w:rPr>
        <w:t>Cyberbullying</w:t>
      </w:r>
      <w:r w:rsidRPr="00340462">
        <w:rPr>
          <w:rFonts w:ascii="Palatino Linotype" w:hAnsi="Palatino Linotype"/>
          <w:sz w:val="22"/>
          <w:szCs w:val="22"/>
        </w:rPr>
        <w:t xml:space="preserve"> tidak hanya merusak kepercayaan diri remaja, tetapi juga berpotensi menyebabkan gangguan psikologis serius.</w:t>
      </w:r>
      <w:proofErr w:type="gramEnd"/>
      <w:r w:rsidR="004E229A">
        <w:rPr>
          <w:rStyle w:val="FootnoteReference"/>
        </w:rPr>
        <w:footnoteReference w:id="4"/>
      </w:r>
      <w:r w:rsidRPr="00340462">
        <w:rPr>
          <w:rFonts w:ascii="Palatino Linotype" w:hAnsi="Palatino Linotype"/>
          <w:sz w:val="22"/>
          <w:szCs w:val="22"/>
        </w:rPr>
        <w:t xml:space="preserve"> </w:t>
      </w:r>
      <w:proofErr w:type="gramStart"/>
      <w:r w:rsidRPr="00340462">
        <w:rPr>
          <w:rFonts w:ascii="Palatino Linotype" w:hAnsi="Palatino Linotype"/>
          <w:sz w:val="22"/>
          <w:szCs w:val="22"/>
        </w:rPr>
        <w:t>Sebagai ilustrasi, kasus pengeroyokan di Ende pada tahun 2021 yang dipicu oleh konsumsi alkohol menunjukkan bagaimana kekerasan dapat berkembang menjadi tindakan brutal dengan dampak yang fatal.</w:t>
      </w:r>
      <w:proofErr w:type="gramEnd"/>
      <w:r w:rsidR="004E229A">
        <w:rPr>
          <w:rStyle w:val="FootnoteReference"/>
        </w:rPr>
        <w:footnoteReference w:id="5"/>
      </w:r>
      <w:r w:rsidRPr="00340462">
        <w:rPr>
          <w:rFonts w:ascii="Palatino Linotype" w:hAnsi="Palatino Linotype"/>
          <w:sz w:val="22"/>
          <w:szCs w:val="22"/>
        </w:rPr>
        <w:t xml:space="preserve"> </w:t>
      </w:r>
      <w:proofErr w:type="gramStart"/>
      <w:r w:rsidRPr="00340462">
        <w:rPr>
          <w:rFonts w:ascii="Palatino Linotype" w:hAnsi="Palatino Linotype"/>
          <w:sz w:val="22"/>
          <w:szCs w:val="22"/>
        </w:rPr>
        <w:lastRenderedPageBreak/>
        <w:t>Kasus ini mencerminkan adanya kecenderungan agresivitas yang tinggi di kalangan remaja, dipicu oleh faktor individu dan sosial yang saling berkaitan.</w:t>
      </w:r>
      <w:proofErr w:type="gramEnd"/>
      <w:r w:rsidR="004E229A">
        <w:rPr>
          <w:rStyle w:val="FootnoteReference"/>
        </w:rPr>
        <w:footnoteReference w:id="6"/>
      </w:r>
    </w:p>
    <w:p w14:paraId="61EBC5AC" w14:textId="74330FC5"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 xml:space="preserve">Berbagai upaya preventif telah dirancang </w:t>
      </w:r>
      <w:r w:rsidR="00FB016F">
        <w:rPr>
          <w:rFonts w:ascii="Palatino Linotype" w:hAnsi="Palatino Linotype"/>
          <w:sz w:val="22"/>
          <w:szCs w:val="22"/>
        </w:rPr>
        <w:t>oleh pemerintah dan masyarakat.</w:t>
      </w:r>
      <w:proofErr w:type="gramEnd"/>
      <w:r w:rsidR="004E229A">
        <w:rPr>
          <w:rStyle w:val="FootnoteReference"/>
        </w:rPr>
        <w:footnoteReference w:id="7"/>
      </w:r>
      <w:r w:rsidR="00FB016F">
        <w:rPr>
          <w:rFonts w:ascii="Palatino Linotype" w:hAnsi="Palatino Linotype"/>
          <w:sz w:val="22"/>
          <w:szCs w:val="22"/>
        </w:rPr>
        <w:t xml:space="preserve"> </w:t>
      </w:r>
      <w:proofErr w:type="gramStart"/>
      <w:r w:rsidRPr="00340462">
        <w:rPr>
          <w:rFonts w:ascii="Palatino Linotype" w:hAnsi="Palatino Linotype"/>
          <w:sz w:val="22"/>
          <w:szCs w:val="22"/>
        </w:rPr>
        <w:t xml:space="preserve">Salah satu langkah signifikan adalah peluncuran </w:t>
      </w:r>
      <w:r w:rsidRPr="00340462">
        <w:rPr>
          <w:rFonts w:ascii="Palatino Linotype" w:hAnsi="Palatino Linotype"/>
          <w:bCs/>
          <w:sz w:val="22"/>
          <w:szCs w:val="22"/>
        </w:rPr>
        <w:t>Program Merdeka dari Kekerasan</w:t>
      </w:r>
      <w:r w:rsidRPr="00340462">
        <w:rPr>
          <w:rFonts w:ascii="Palatino Linotype" w:hAnsi="Palatino Linotype"/>
          <w:sz w:val="22"/>
          <w:szCs w:val="22"/>
        </w:rPr>
        <w:t xml:space="preserve"> oleh Kemendikbudristek melalui </w:t>
      </w:r>
      <w:r w:rsidRPr="00340462">
        <w:rPr>
          <w:rFonts w:ascii="Palatino Linotype" w:hAnsi="Palatino Linotype"/>
          <w:bCs/>
          <w:sz w:val="22"/>
          <w:szCs w:val="22"/>
        </w:rPr>
        <w:t>Permendikbudristek Nomor 30 Tahun 2021</w:t>
      </w:r>
      <w:r w:rsidRPr="00340462">
        <w:rPr>
          <w:rFonts w:ascii="Palatino Linotype" w:hAnsi="Palatino Linotype"/>
          <w:sz w:val="22"/>
          <w:szCs w:val="22"/>
        </w:rPr>
        <w:t>.</w:t>
      </w:r>
      <w:proofErr w:type="gramEnd"/>
      <w:r w:rsidR="004E229A">
        <w:rPr>
          <w:rStyle w:val="FootnoteReference"/>
        </w:rPr>
        <w:footnoteReference w:id="8"/>
      </w:r>
      <w:r w:rsidRPr="00340462">
        <w:rPr>
          <w:rFonts w:ascii="Palatino Linotype" w:hAnsi="Palatino Linotype"/>
          <w:sz w:val="22"/>
          <w:szCs w:val="22"/>
        </w:rPr>
        <w:t xml:space="preserve"> </w:t>
      </w:r>
      <w:proofErr w:type="gramStart"/>
      <w:r w:rsidRPr="00340462">
        <w:rPr>
          <w:rFonts w:ascii="Palatino Linotype" w:hAnsi="Palatino Linotype"/>
          <w:sz w:val="22"/>
          <w:szCs w:val="22"/>
        </w:rPr>
        <w:t>Program ini bertujuan untuk mencegah kekerasan, terutama kekerasan seksual, melalui penguatan regulasi dan edukasi.</w:t>
      </w:r>
      <w:proofErr w:type="gramEnd"/>
      <w:r w:rsidR="004E229A">
        <w:rPr>
          <w:rStyle w:val="FootnoteReference"/>
        </w:rPr>
        <w:footnoteReference w:id="9"/>
      </w:r>
      <w:r w:rsidRPr="00340462">
        <w:rPr>
          <w:rFonts w:ascii="Palatino Linotype" w:hAnsi="Palatino Linotype"/>
          <w:sz w:val="22"/>
          <w:szCs w:val="22"/>
        </w:rPr>
        <w:t xml:space="preserve"> </w:t>
      </w:r>
      <w:proofErr w:type="gramStart"/>
      <w:r w:rsidRPr="00340462">
        <w:rPr>
          <w:rFonts w:ascii="Palatino Linotype" w:hAnsi="Palatino Linotype"/>
          <w:sz w:val="22"/>
          <w:szCs w:val="22"/>
        </w:rPr>
        <w:t xml:space="preserve">Namun, efektivitas program ini memerlukan kolaborasi berbagai pihak serta pendekatan holistik yang </w:t>
      </w:r>
      <w:r w:rsidRPr="00340462">
        <w:rPr>
          <w:rFonts w:ascii="Palatino Linotype" w:hAnsi="Palatino Linotype"/>
          <w:sz w:val="22"/>
          <w:szCs w:val="22"/>
        </w:rPr>
        <w:lastRenderedPageBreak/>
        <w:t>mencakup pendidikan, pemberdayaan keluarga, dan pemanfaatan teknologi informasi.</w:t>
      </w:r>
      <w:proofErr w:type="gramEnd"/>
      <w:r w:rsidR="004E229A">
        <w:rPr>
          <w:rStyle w:val="FootnoteReference"/>
        </w:rPr>
        <w:footnoteReference w:id="10"/>
      </w:r>
    </w:p>
    <w:p w14:paraId="2D0B4435" w14:textId="2DFEBCC9"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bCs/>
          <w:sz w:val="22"/>
          <w:szCs w:val="22"/>
        </w:rPr>
        <w:t>Bimbingan dan Penyuluhan Islam</w:t>
      </w:r>
      <w:r w:rsidRPr="00340462">
        <w:rPr>
          <w:rFonts w:ascii="Palatino Linotype" w:hAnsi="Palatino Linotype"/>
          <w:sz w:val="22"/>
          <w:szCs w:val="22"/>
        </w:rPr>
        <w:t xml:space="preserve"> memiliki peran strategis dalam mendukung upaya preventif ini.</w:t>
      </w:r>
      <w:proofErr w:type="gramEnd"/>
      <w:r w:rsidR="004E229A">
        <w:rPr>
          <w:rStyle w:val="FootnoteReference"/>
        </w:rPr>
        <w:footnoteReference w:id="11"/>
      </w:r>
      <w:r w:rsidRPr="00340462">
        <w:rPr>
          <w:rFonts w:ascii="Palatino Linotype" w:hAnsi="Palatino Linotype"/>
          <w:sz w:val="22"/>
          <w:szCs w:val="22"/>
        </w:rPr>
        <w:t xml:space="preserve"> Dengan pendekatan berbasis nilai-nilai agama dan moral, bimbingan Islam dapat membantu membangun karakter remaja yang kuat, mengedukasi tentang bahaya kekerasan, serta memperkuat ketah</w:t>
      </w:r>
      <w:r w:rsidR="00546C01">
        <w:rPr>
          <w:rFonts w:ascii="Palatino Linotype" w:hAnsi="Palatino Linotype"/>
          <w:sz w:val="22"/>
          <w:szCs w:val="22"/>
        </w:rPr>
        <w:t>anan mental dan emosional pada remaja</w:t>
      </w:r>
      <w:r w:rsidRPr="00340462">
        <w:rPr>
          <w:rFonts w:ascii="Palatino Linotype" w:hAnsi="Palatino Linotype"/>
          <w:sz w:val="22"/>
          <w:szCs w:val="22"/>
        </w:rPr>
        <w:t>.</w:t>
      </w:r>
      <w:r w:rsidR="004E229A">
        <w:rPr>
          <w:rStyle w:val="FootnoteReference"/>
        </w:rPr>
        <w:footnoteReference w:id="12"/>
      </w:r>
      <w:r w:rsidRPr="00340462">
        <w:rPr>
          <w:rFonts w:ascii="Palatino Linotype" w:hAnsi="Palatino Linotype"/>
          <w:sz w:val="22"/>
          <w:szCs w:val="22"/>
        </w:rPr>
        <w:t xml:space="preserve"> </w:t>
      </w:r>
      <w:proofErr w:type="gramStart"/>
      <w:r w:rsidRPr="00340462">
        <w:rPr>
          <w:rFonts w:ascii="Palatino Linotype" w:hAnsi="Palatino Linotype"/>
          <w:sz w:val="22"/>
          <w:szCs w:val="22"/>
        </w:rPr>
        <w:t>Pendekatan ini tidak hanya melibatkan remaja, tetapi juga keluarga dan lingkungan sekitar, sehingga membentuk ekosistem yang mendukung pencegahan kekerasan secara komprehensif.</w:t>
      </w:r>
      <w:proofErr w:type="gramEnd"/>
      <w:r w:rsidR="004E229A">
        <w:rPr>
          <w:rStyle w:val="FootnoteReference"/>
        </w:rPr>
        <w:footnoteReference w:id="13"/>
      </w:r>
    </w:p>
    <w:p w14:paraId="24446E3C" w14:textId="304409B8"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Di era digital, tantangan seperti rendahnya literasi digital dan akses informasi yang terbatas tetap menjadi hambatan.</w:t>
      </w:r>
      <w:proofErr w:type="gramEnd"/>
      <w:r w:rsidR="004E229A">
        <w:rPr>
          <w:rStyle w:val="FootnoteReference"/>
        </w:rPr>
        <w:footnoteReference w:id="14"/>
      </w:r>
      <w:r w:rsidRPr="00340462">
        <w:rPr>
          <w:rFonts w:ascii="Palatino Linotype" w:hAnsi="Palatino Linotype"/>
          <w:sz w:val="22"/>
          <w:szCs w:val="22"/>
        </w:rPr>
        <w:t xml:space="preserve"> </w:t>
      </w:r>
      <w:proofErr w:type="gramStart"/>
      <w:r w:rsidRPr="00340462">
        <w:rPr>
          <w:rFonts w:ascii="Palatino Linotype" w:hAnsi="Palatino Linotype"/>
          <w:sz w:val="22"/>
          <w:szCs w:val="22"/>
        </w:rPr>
        <w:t xml:space="preserve">Namun, kemajuan teknologi juga menghadirkan peluang besar, seperti </w:t>
      </w:r>
      <w:r w:rsidR="00803839" w:rsidRPr="00340462">
        <w:rPr>
          <w:rFonts w:ascii="Palatino Linotype" w:hAnsi="Palatino Linotype"/>
          <w:sz w:val="22"/>
          <w:szCs w:val="22"/>
        </w:rPr>
        <w:lastRenderedPageBreak/>
        <w:t>Penyuluhan</w:t>
      </w:r>
      <w:r w:rsidRPr="00340462">
        <w:rPr>
          <w:rFonts w:ascii="Palatino Linotype" w:hAnsi="Palatino Linotype"/>
          <w:sz w:val="22"/>
          <w:szCs w:val="22"/>
        </w:rPr>
        <w:t xml:space="preserve"> anti-kekerasan melalui media sosial, platform edukasi interaktif, dan layanan </w:t>
      </w:r>
      <w:r w:rsidR="001270F3" w:rsidRPr="00340462">
        <w:rPr>
          <w:rFonts w:ascii="Palatino Linotype" w:hAnsi="Palatino Linotype"/>
          <w:sz w:val="22"/>
          <w:szCs w:val="22"/>
        </w:rPr>
        <w:t xml:space="preserve">bimbingan </w:t>
      </w:r>
      <w:r w:rsidRPr="00340462">
        <w:rPr>
          <w:rFonts w:ascii="Palatino Linotype" w:hAnsi="Palatino Linotype"/>
          <w:sz w:val="22"/>
          <w:szCs w:val="22"/>
        </w:rPr>
        <w:t>konseling</w:t>
      </w:r>
      <w:r w:rsidR="001270F3" w:rsidRPr="00340462">
        <w:rPr>
          <w:rFonts w:ascii="Palatino Linotype" w:hAnsi="Palatino Linotype"/>
          <w:sz w:val="22"/>
          <w:szCs w:val="22"/>
        </w:rPr>
        <w:t xml:space="preserve"> Islam</w:t>
      </w:r>
      <w:r w:rsidRPr="00340462">
        <w:rPr>
          <w:rFonts w:ascii="Palatino Linotype" w:hAnsi="Palatino Linotype"/>
          <w:sz w:val="22"/>
          <w:szCs w:val="22"/>
        </w:rPr>
        <w:t xml:space="preserve"> jarak jauh</w:t>
      </w:r>
      <w:r w:rsidR="001270F3" w:rsidRPr="00340462">
        <w:rPr>
          <w:rFonts w:ascii="Palatino Linotype" w:hAnsi="Palatino Linotype"/>
          <w:sz w:val="22"/>
          <w:szCs w:val="22"/>
        </w:rPr>
        <w:t xml:space="preserve"> sebagai strategi</w:t>
      </w:r>
      <w:r w:rsidR="004E229A">
        <w:rPr>
          <w:rStyle w:val="FootnoteReference"/>
        </w:rPr>
        <w:footnoteReference w:id="15"/>
      </w:r>
      <w:r w:rsidRPr="00340462">
        <w:rPr>
          <w:rFonts w:ascii="Palatino Linotype" w:hAnsi="Palatino Linotype"/>
          <w:sz w:val="22"/>
          <w:szCs w:val="22"/>
        </w:rPr>
        <w:t>.</w:t>
      </w:r>
      <w:proofErr w:type="gramEnd"/>
      <w:r w:rsidRPr="00340462">
        <w:rPr>
          <w:rFonts w:ascii="Palatino Linotype" w:hAnsi="Palatino Linotype"/>
          <w:sz w:val="22"/>
          <w:szCs w:val="22"/>
        </w:rPr>
        <w:t xml:space="preserve"> </w:t>
      </w:r>
      <w:proofErr w:type="gramStart"/>
      <w:r w:rsidR="001270F3" w:rsidRPr="00340462">
        <w:rPr>
          <w:rFonts w:ascii="Palatino Linotype" w:hAnsi="Palatino Linotype"/>
          <w:sz w:val="22"/>
          <w:szCs w:val="22"/>
        </w:rPr>
        <w:t>Sehingga</w:t>
      </w:r>
      <w:r w:rsidRPr="00340462">
        <w:rPr>
          <w:rFonts w:ascii="Palatino Linotype" w:hAnsi="Palatino Linotype"/>
          <w:sz w:val="22"/>
          <w:szCs w:val="22"/>
        </w:rPr>
        <w:t>, penerapan upaya preventif yang berbasis Bimbingan dan Penyuluhan Islam diharapkan mampu memberikan solusi yang relevan dan berdampak nyata dalam menekan angka kekerasan pada remaja di Indonesia.</w:t>
      </w:r>
      <w:proofErr w:type="gramEnd"/>
      <w:r w:rsidR="004E229A">
        <w:rPr>
          <w:rStyle w:val="FootnoteReference"/>
        </w:rPr>
        <w:footnoteReference w:id="16"/>
      </w:r>
    </w:p>
    <w:p w14:paraId="7DB7BCD3" w14:textId="77777777" w:rsidR="006F3B5C" w:rsidRPr="00340462" w:rsidRDefault="006F3B5C" w:rsidP="00340462">
      <w:pPr>
        <w:spacing w:before="240" w:line="276" w:lineRule="auto"/>
        <w:jc w:val="both"/>
        <w:rPr>
          <w:rFonts w:ascii="Palatino Linotype" w:hAnsi="Palatino Linotype"/>
          <w:sz w:val="22"/>
          <w:szCs w:val="22"/>
        </w:rPr>
      </w:pPr>
      <w:r w:rsidRPr="00340462">
        <w:rPr>
          <w:rFonts w:ascii="Palatino Linotype" w:hAnsi="Palatino Linotype"/>
          <w:b/>
          <w:bCs/>
          <w:color w:val="000000"/>
          <w:sz w:val="22"/>
          <w:szCs w:val="22"/>
        </w:rPr>
        <w:t>Metode</w:t>
      </w:r>
    </w:p>
    <w:p w14:paraId="27B797E7" w14:textId="3D359AAE"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r w:rsidRPr="00340462">
        <w:rPr>
          <w:rFonts w:ascii="Palatino Linotype" w:hAnsi="Palatino Linotype"/>
          <w:sz w:val="22"/>
          <w:szCs w:val="22"/>
        </w:rPr>
        <w:t xml:space="preserve">Penelitian ini menggunakan pendekatan kualitatif untuk mengidentifikasi berbagai faktor yang berkontribusi terhadap kekerasan pada remaja </w:t>
      </w:r>
      <w:proofErr w:type="gramStart"/>
      <w:r w:rsidRPr="00340462">
        <w:rPr>
          <w:rFonts w:ascii="Palatino Linotype" w:hAnsi="Palatino Linotype"/>
          <w:sz w:val="22"/>
          <w:szCs w:val="22"/>
        </w:rPr>
        <w:t>usia</w:t>
      </w:r>
      <w:proofErr w:type="gramEnd"/>
      <w:r w:rsidRPr="00340462">
        <w:rPr>
          <w:rFonts w:ascii="Palatino Linotype" w:hAnsi="Palatino Linotype"/>
          <w:sz w:val="22"/>
          <w:szCs w:val="22"/>
        </w:rPr>
        <w:t xml:space="preserve"> 12-19 tahun dan mengevaluasi efektivitas berbagai upaya preventif, khususnya melalui pendekatan Bimbingan dan Penyuluhan Islam.</w:t>
      </w:r>
      <w:r w:rsidR="005D188B" w:rsidRPr="00340462">
        <w:rPr>
          <w:rFonts w:ascii="Palatino Linotype" w:hAnsi="Palatino Linotype"/>
          <w:sz w:val="22"/>
          <w:szCs w:val="22"/>
        </w:rPr>
        <w:t xml:space="preserve"> </w:t>
      </w:r>
      <w:proofErr w:type="gramStart"/>
      <w:r w:rsidRPr="00340462">
        <w:rPr>
          <w:rFonts w:ascii="Palatino Linotype" w:hAnsi="Palatino Linotype"/>
          <w:sz w:val="22"/>
          <w:szCs w:val="22"/>
        </w:rPr>
        <w:t>Penelitian ini dirancang dengan tahapan pengumpulan dan analisis data yang komprehensif untuk memberikan pemahaman mendalam tentang permasalahan kekerasan pada remaja.</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Fokus utamanya adalah menggali pengalaman langsung dari remaja dan pihak terkait, serta mengevaluasi peran edukasi dan intervensi berbasis nilai-nilai Islam sebagai salah satu solusi preventif.</w:t>
      </w:r>
      <w:proofErr w:type="gramEnd"/>
      <w:r w:rsidR="004E229A">
        <w:rPr>
          <w:rStyle w:val="FootnoteReference"/>
        </w:rPr>
        <w:footnoteReference w:id="17"/>
      </w:r>
    </w:p>
    <w:p w14:paraId="494B317D" w14:textId="4C7BDFF3" w:rsidR="008C0170" w:rsidRPr="00340462" w:rsidRDefault="00474D9F"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P</w:t>
      </w:r>
      <w:r w:rsidR="008C0170" w:rsidRPr="00340462">
        <w:rPr>
          <w:rFonts w:ascii="Palatino Linotype" w:hAnsi="Palatino Linotype"/>
          <w:sz w:val="22"/>
          <w:szCs w:val="22"/>
        </w:rPr>
        <w:t>endekatan ini bersifat deskriptif-eksploratif dengan menggunakan kerangka fenomenologi.</w:t>
      </w:r>
      <w:proofErr w:type="gramEnd"/>
      <w:r w:rsidR="008C0170" w:rsidRPr="00340462">
        <w:rPr>
          <w:rFonts w:ascii="Palatino Linotype" w:hAnsi="Palatino Linotype"/>
          <w:sz w:val="22"/>
          <w:szCs w:val="22"/>
        </w:rPr>
        <w:t xml:space="preserve"> </w:t>
      </w:r>
      <w:proofErr w:type="gramStart"/>
      <w:r w:rsidR="008C0170" w:rsidRPr="00340462">
        <w:rPr>
          <w:rFonts w:ascii="Palatino Linotype" w:hAnsi="Palatino Linotype"/>
          <w:sz w:val="22"/>
          <w:szCs w:val="22"/>
        </w:rPr>
        <w:t xml:space="preserve">Penelitian fenomenologi bertujuan untuk memahami pengalaman subjektif, persepsi, dan </w:t>
      </w:r>
      <w:r w:rsidR="008C0170" w:rsidRPr="00340462">
        <w:rPr>
          <w:rFonts w:ascii="Palatino Linotype" w:hAnsi="Palatino Linotype"/>
          <w:sz w:val="22"/>
          <w:szCs w:val="22"/>
        </w:rPr>
        <w:lastRenderedPageBreak/>
        <w:t>tantangan yang dihadapi remaja serta pihak-pihak yang terlibat dalam mencegah kekerasan.</w:t>
      </w:r>
      <w:proofErr w:type="gramEnd"/>
      <w:r w:rsidR="008C0170" w:rsidRPr="00340462">
        <w:rPr>
          <w:rFonts w:ascii="Palatino Linotype" w:hAnsi="Palatino Linotype"/>
          <w:sz w:val="22"/>
          <w:szCs w:val="22"/>
        </w:rPr>
        <w:t xml:space="preserve"> </w:t>
      </w:r>
      <w:proofErr w:type="gramStart"/>
      <w:r w:rsidR="008C0170" w:rsidRPr="00340462">
        <w:rPr>
          <w:rFonts w:ascii="Palatino Linotype" w:hAnsi="Palatino Linotype"/>
          <w:sz w:val="22"/>
          <w:szCs w:val="22"/>
        </w:rPr>
        <w:t xml:space="preserve">Untuk itu, berbagai metode pengumpulan data digunakan, termasuk </w:t>
      </w:r>
      <w:r w:rsidR="008C0170" w:rsidRPr="00E13562">
        <w:rPr>
          <w:rFonts w:ascii="Palatino Linotype" w:hAnsi="Palatino Linotype"/>
          <w:bCs/>
          <w:i/>
          <w:sz w:val="22"/>
          <w:szCs w:val="22"/>
        </w:rPr>
        <w:t xml:space="preserve">Focus Group Discussion </w:t>
      </w:r>
      <w:r w:rsidR="008C0170" w:rsidRPr="00340462">
        <w:rPr>
          <w:rFonts w:ascii="Palatino Linotype" w:hAnsi="Palatino Linotype"/>
          <w:bCs/>
          <w:sz w:val="22"/>
          <w:szCs w:val="22"/>
        </w:rPr>
        <w:t>(FGD</w:t>
      </w:r>
      <w:r w:rsidR="008C0170" w:rsidRPr="00340462">
        <w:rPr>
          <w:rFonts w:ascii="Palatino Linotype" w:hAnsi="Palatino Linotype"/>
          <w:b/>
          <w:bCs/>
          <w:sz w:val="22"/>
          <w:szCs w:val="22"/>
        </w:rPr>
        <w:t>)</w:t>
      </w:r>
      <w:r w:rsidR="008C0170" w:rsidRPr="00340462">
        <w:rPr>
          <w:rFonts w:ascii="Palatino Linotype" w:hAnsi="Palatino Linotype"/>
          <w:sz w:val="22"/>
          <w:szCs w:val="22"/>
        </w:rPr>
        <w:t>, sosialisasi dan penyuluhan, serta wawancara mendalam.</w:t>
      </w:r>
      <w:proofErr w:type="gramEnd"/>
      <w:r w:rsidR="004E229A">
        <w:rPr>
          <w:rStyle w:val="FootnoteReference"/>
        </w:rPr>
        <w:footnoteReference w:id="18"/>
      </w:r>
      <w:r w:rsidR="008C0170" w:rsidRPr="00340462">
        <w:rPr>
          <w:rFonts w:ascii="Palatino Linotype" w:hAnsi="Palatino Linotype"/>
          <w:sz w:val="22"/>
          <w:szCs w:val="22"/>
        </w:rPr>
        <w:t xml:space="preserve"> </w:t>
      </w:r>
      <w:proofErr w:type="gramStart"/>
      <w:r w:rsidR="008C0170" w:rsidRPr="00340462">
        <w:rPr>
          <w:rFonts w:ascii="Palatino Linotype" w:hAnsi="Palatino Linotype"/>
          <w:sz w:val="22"/>
          <w:szCs w:val="22"/>
        </w:rPr>
        <w:t>Kombinasi metode ini memungkinkan peneliti memperoleh data yang kaya dan mendalam, baik dari perspektif korban kekerasan, remaja secara umum, maupun pihak profesional seperti konselor sekolah dan petugas kesehatan.</w:t>
      </w:r>
      <w:proofErr w:type="gramEnd"/>
    </w:p>
    <w:p w14:paraId="64B66791" w14:textId="1BF68D9C"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r w:rsidRPr="00340462">
        <w:rPr>
          <w:rFonts w:ascii="Palatino Linotype" w:hAnsi="Palatino Linotype"/>
          <w:bCs/>
          <w:sz w:val="22"/>
          <w:szCs w:val="22"/>
        </w:rPr>
        <w:t>Teknik pengumpulan data</w:t>
      </w:r>
      <w:r w:rsidRPr="00340462">
        <w:rPr>
          <w:rFonts w:ascii="Palatino Linotype" w:hAnsi="Palatino Linotype"/>
          <w:sz w:val="22"/>
          <w:szCs w:val="22"/>
        </w:rPr>
        <w:t xml:space="preserve"> diawali dengan </w:t>
      </w:r>
      <w:r w:rsidRPr="00340462">
        <w:rPr>
          <w:rFonts w:ascii="Palatino Linotype" w:hAnsi="Palatino Linotype"/>
          <w:bCs/>
          <w:sz w:val="22"/>
          <w:szCs w:val="22"/>
        </w:rPr>
        <w:t>Focus Group Discussion (FGD)</w:t>
      </w:r>
      <w:r w:rsidRPr="00340462">
        <w:rPr>
          <w:rFonts w:ascii="Palatino Linotype" w:hAnsi="Palatino Linotype"/>
          <w:sz w:val="22"/>
          <w:szCs w:val="22"/>
        </w:rPr>
        <w:t xml:space="preserve">, yang melibatkan remaja </w:t>
      </w:r>
      <w:proofErr w:type="gramStart"/>
      <w:r w:rsidRPr="00340462">
        <w:rPr>
          <w:rFonts w:ascii="Palatino Linotype" w:hAnsi="Palatino Linotype"/>
          <w:sz w:val="22"/>
          <w:szCs w:val="22"/>
        </w:rPr>
        <w:t>usia</w:t>
      </w:r>
      <w:proofErr w:type="gramEnd"/>
      <w:r w:rsidRPr="00340462">
        <w:rPr>
          <w:rFonts w:ascii="Palatino Linotype" w:hAnsi="Palatino Linotype"/>
          <w:sz w:val="22"/>
          <w:szCs w:val="22"/>
        </w:rPr>
        <w:t xml:space="preserve"> 12-19 tahun sebagai peserta. Dalam FGD, remaja berbagi pengalaman dan pandangan mereka mengenai kekerasan, termasuk faktor penyebabnya, dampaknya, dan evaluasi mereka terhadap upaya preventif yang ada. </w:t>
      </w:r>
      <w:proofErr w:type="gramStart"/>
      <w:r w:rsidRPr="00340462">
        <w:rPr>
          <w:rFonts w:ascii="Palatino Linotype" w:hAnsi="Palatino Linotype"/>
          <w:sz w:val="22"/>
          <w:szCs w:val="22"/>
        </w:rPr>
        <w:t>Sesi FGD ini dipandu oleh fasilitator yang terlatih untuk memastikan diskusi berjalan terarah dan mendalam, serta di</w:t>
      </w:r>
      <w:r w:rsidR="00E13562">
        <w:rPr>
          <w:rFonts w:ascii="Palatino Linotype" w:hAnsi="Palatino Linotype"/>
          <w:sz w:val="22"/>
          <w:szCs w:val="22"/>
        </w:rPr>
        <w:t>rekam untuk keperluan analisis.</w:t>
      </w:r>
      <w:proofErr w:type="gramEnd"/>
      <w:r w:rsidR="00E13562">
        <w:rPr>
          <w:rFonts w:ascii="Palatino Linotype" w:hAnsi="Palatino Linotype"/>
          <w:sz w:val="22"/>
          <w:szCs w:val="22"/>
        </w:rPr>
        <w:t xml:space="preserve"> </w:t>
      </w:r>
      <w:proofErr w:type="gramStart"/>
      <w:r w:rsidR="00E13562">
        <w:rPr>
          <w:rFonts w:ascii="Palatino Linotype" w:hAnsi="Palatino Linotype"/>
          <w:sz w:val="22"/>
          <w:szCs w:val="22"/>
        </w:rPr>
        <w:t>P</w:t>
      </w:r>
      <w:r w:rsidRPr="00340462">
        <w:rPr>
          <w:rFonts w:ascii="Palatino Linotype" w:hAnsi="Palatino Linotype"/>
          <w:sz w:val="22"/>
          <w:szCs w:val="22"/>
        </w:rPr>
        <w:t>eneliti</w:t>
      </w:r>
      <w:r w:rsidR="00E13562">
        <w:rPr>
          <w:rFonts w:ascii="Palatino Linotype" w:hAnsi="Palatino Linotype"/>
          <w:sz w:val="22"/>
          <w:szCs w:val="22"/>
        </w:rPr>
        <w:t xml:space="preserve"> juga</w:t>
      </w:r>
      <w:r w:rsidRPr="00340462">
        <w:rPr>
          <w:rFonts w:ascii="Palatino Linotype" w:hAnsi="Palatino Linotype"/>
          <w:sz w:val="22"/>
          <w:szCs w:val="22"/>
        </w:rPr>
        <w:t xml:space="preserve"> mencatat poin-poin penting sebagai tambahan untuk dokumentasi.</w:t>
      </w:r>
      <w:proofErr w:type="gramEnd"/>
    </w:p>
    <w:p w14:paraId="44B019BD" w14:textId="474B45D8"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 xml:space="preserve">Pendekatan kedua adalah </w:t>
      </w:r>
      <w:r w:rsidRPr="00340462">
        <w:rPr>
          <w:rFonts w:ascii="Palatino Linotype" w:hAnsi="Palatino Linotype"/>
          <w:bCs/>
          <w:sz w:val="22"/>
          <w:szCs w:val="22"/>
        </w:rPr>
        <w:t>sosialisasi dan penyuluhan</w:t>
      </w:r>
      <w:r w:rsidRPr="00340462">
        <w:rPr>
          <w:rFonts w:ascii="Palatino Linotype" w:hAnsi="Palatino Linotype"/>
          <w:sz w:val="22"/>
          <w:szCs w:val="22"/>
        </w:rPr>
        <w:t>, di mana peneliti memberikan materi edukasi yang dirancang untuk meningkatkan kesadaran remaja tentang kekerasan dan cara-cara mencegahnya.</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Materi ini disampaikan dalam bentuk presentasi interaktif yang mencakup informasi tentang dampak fisik dan psikologis kekerasan, serta langkah-langkah praktis untuk menghindari atau mengatasi situasi kekerasan.</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 xml:space="preserve">Penyuluhan juga menggunakan modul yang dikembangkan secara khusus dengan pendekatan Bimbingan dan Penyuluhan Islam, menekankan nilai-nilai </w:t>
      </w:r>
      <w:r w:rsidRPr="00340462">
        <w:rPr>
          <w:rFonts w:ascii="Palatino Linotype" w:hAnsi="Palatino Linotype"/>
          <w:sz w:val="22"/>
          <w:szCs w:val="22"/>
        </w:rPr>
        <w:lastRenderedPageBreak/>
        <w:t>keagamaan seperti kasih sayang, toleransi, dan resolusi konflik tanpa kekerasan.</w:t>
      </w:r>
      <w:proofErr w:type="gramEnd"/>
      <w:r w:rsidR="004E229A">
        <w:rPr>
          <w:rStyle w:val="FootnoteReference"/>
          <w:rFonts w:ascii="Palatino Linotype" w:hAnsi="Palatino Linotype"/>
          <w:sz w:val="22"/>
          <w:szCs w:val="22"/>
        </w:rPr>
        <w:footnoteReference w:id="19"/>
      </w:r>
      <w:r w:rsidRPr="00340462">
        <w:rPr>
          <w:rFonts w:ascii="Palatino Linotype" w:hAnsi="Palatino Linotype"/>
          <w:sz w:val="22"/>
          <w:szCs w:val="22"/>
        </w:rPr>
        <w:t xml:space="preserve"> </w:t>
      </w:r>
      <w:proofErr w:type="gramStart"/>
      <w:r w:rsidRPr="00340462">
        <w:rPr>
          <w:rFonts w:ascii="Palatino Linotype" w:hAnsi="Palatino Linotype"/>
          <w:sz w:val="22"/>
          <w:szCs w:val="22"/>
        </w:rPr>
        <w:t>Setelah sesi penyuluhan, diskusi interaktif dilakukan untuk mengukur pemahaman remaja dan tanggapan mereka terhadap materi yang disampaikan.</w:t>
      </w:r>
      <w:proofErr w:type="gramEnd"/>
    </w:p>
    <w:p w14:paraId="32D84F5D" w14:textId="2AD8F24F"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 xml:space="preserve">Tahapan berikutnya adalah </w:t>
      </w:r>
      <w:r w:rsidRPr="00340462">
        <w:rPr>
          <w:rFonts w:ascii="Palatino Linotype" w:hAnsi="Palatino Linotype"/>
          <w:bCs/>
          <w:sz w:val="22"/>
          <w:szCs w:val="22"/>
        </w:rPr>
        <w:t>wawancara mendalam</w:t>
      </w:r>
      <w:r w:rsidRPr="00340462">
        <w:rPr>
          <w:rFonts w:ascii="Palatino Linotype" w:hAnsi="Palatino Linotype"/>
          <w:sz w:val="22"/>
          <w:szCs w:val="22"/>
        </w:rPr>
        <w:t xml:space="preserve"> dengan dua kelompok </w:t>
      </w:r>
      <w:r w:rsidR="00874B31">
        <w:rPr>
          <w:rFonts w:ascii="Palatino Linotype" w:hAnsi="Palatino Linotype"/>
          <w:sz w:val="22"/>
          <w:szCs w:val="22"/>
        </w:rPr>
        <w:t>Narasumber</w:t>
      </w:r>
      <w:r w:rsidRPr="00340462">
        <w:rPr>
          <w:rFonts w:ascii="Palatino Linotype" w:hAnsi="Palatino Linotype"/>
          <w:sz w:val="22"/>
          <w:szCs w:val="22"/>
        </w:rPr>
        <w:t>, yaitu remaja korban kekerasan dan penyedia layanan.</w:t>
      </w:r>
      <w:proofErr w:type="gramEnd"/>
      <w:r w:rsidRPr="00340462">
        <w:rPr>
          <w:rFonts w:ascii="Palatino Linotype" w:hAnsi="Palatino Linotype"/>
          <w:sz w:val="22"/>
          <w:szCs w:val="22"/>
        </w:rPr>
        <w:t xml:space="preserve"> Wawancara dengan remaja korban bertujuan untuk mendapatkan gambaran detail mengenai pengalaman mereka, dampak kekerasan yang dirasakan, serta faktor penyebab yang mereka identifikasi. </w:t>
      </w:r>
      <w:proofErr w:type="gramStart"/>
      <w:r w:rsidRPr="00340462">
        <w:rPr>
          <w:rFonts w:ascii="Palatino Linotype" w:hAnsi="Palatino Linotype"/>
          <w:sz w:val="22"/>
          <w:szCs w:val="22"/>
        </w:rPr>
        <w:t>Wawancara ini memberikan wawasan penting mengenai sisi personal dan emosional dari kekerasan.</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Sementara itu, wawancara dengan penyedia layanan seperti konselor sekolah dan petugas kesehatan fokus pada perspektif profesional mengenai penyebab kekerasan, penanganan kasus, serta efektivitas upaya preventif yang telah dilakukan.</w:t>
      </w:r>
      <w:proofErr w:type="gramEnd"/>
    </w:p>
    <w:p w14:paraId="2F69653F" w14:textId="082CCAE2" w:rsidR="008C0170" w:rsidRPr="00340462" w:rsidRDefault="008C0170"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Setelah data terkumpul</w:t>
      </w:r>
      <w:r w:rsidR="00CC4882">
        <w:rPr>
          <w:rFonts w:ascii="Palatino Linotype" w:hAnsi="Palatino Linotype"/>
          <w:sz w:val="22"/>
          <w:szCs w:val="22"/>
        </w:rPr>
        <w:t xml:space="preserve"> berdasarkan hasil wawancara</w:t>
      </w:r>
      <w:r w:rsidRPr="00340462">
        <w:rPr>
          <w:rFonts w:ascii="Palatino Linotype" w:hAnsi="Palatino Linotype"/>
          <w:sz w:val="22"/>
          <w:szCs w:val="22"/>
        </w:rPr>
        <w:t xml:space="preserve">, peneliti melakukan </w:t>
      </w:r>
      <w:r w:rsidRPr="00340462">
        <w:rPr>
          <w:rFonts w:ascii="Palatino Linotype" w:hAnsi="Palatino Linotype"/>
          <w:bCs/>
          <w:sz w:val="22"/>
          <w:szCs w:val="22"/>
        </w:rPr>
        <w:t>analisis tematik</w:t>
      </w:r>
      <w:r w:rsidRPr="00340462">
        <w:rPr>
          <w:rFonts w:ascii="Palatino Linotype" w:hAnsi="Palatino Linotype"/>
          <w:sz w:val="22"/>
          <w:szCs w:val="22"/>
        </w:rPr>
        <w:t xml:space="preserve"> untuk mengidentifikasi pola </w:t>
      </w:r>
      <w:r w:rsidR="00CC4882">
        <w:rPr>
          <w:rFonts w:ascii="Palatino Linotype" w:hAnsi="Palatino Linotype"/>
          <w:sz w:val="22"/>
          <w:szCs w:val="22"/>
        </w:rPr>
        <w:t xml:space="preserve">yang </w:t>
      </w:r>
      <w:r w:rsidRPr="00340462">
        <w:rPr>
          <w:rFonts w:ascii="Palatino Linotype" w:hAnsi="Palatino Linotype"/>
          <w:sz w:val="22"/>
          <w:szCs w:val="22"/>
        </w:rPr>
        <w:t>diperoleh.</w:t>
      </w:r>
      <w:proofErr w:type="gramEnd"/>
      <w:r w:rsidRPr="00340462">
        <w:rPr>
          <w:rFonts w:ascii="Palatino Linotype" w:hAnsi="Palatino Linotype"/>
          <w:sz w:val="22"/>
          <w:szCs w:val="22"/>
        </w:rPr>
        <w:t xml:space="preserve"> Analisis diawali dengan proses transkripsi data dari rekaman suara ke bentuk teks untuk mendapatkan naskah lengkap. </w:t>
      </w:r>
      <w:proofErr w:type="gramStart"/>
      <w:r w:rsidRPr="00340462">
        <w:rPr>
          <w:rFonts w:ascii="Palatino Linotype" w:hAnsi="Palatino Linotype"/>
          <w:sz w:val="22"/>
          <w:szCs w:val="22"/>
        </w:rPr>
        <w:t>Peneliti kemudian membaca data secara mendalam untuk mengidentifikasi tema-tema yang berulang, seperti faktor individu, keluarga, sekolah, dan lingkungan sosial yang berkontribusi terhadap kekerasan.</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Tema-tema ini dikategorikan termasuk faktor penyebab kekerasan, dampaknya, dan evaluasi upaya preventif.</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Tahapan terakhir adalah menarik kesimpulan dan memberikan rekomendasi.</w:t>
      </w:r>
      <w:proofErr w:type="gramEnd"/>
    </w:p>
    <w:p w14:paraId="1DB28BAB" w14:textId="6C6C0DCA" w:rsidR="001270F3" w:rsidRPr="00340462" w:rsidRDefault="008C0170" w:rsidP="00FB016F">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lastRenderedPageBreak/>
        <w:t>Untuk</w:t>
      </w:r>
      <w:r w:rsidR="003F52C1">
        <w:rPr>
          <w:rFonts w:ascii="Palatino Linotype" w:hAnsi="Palatino Linotype"/>
          <w:sz w:val="22"/>
          <w:szCs w:val="22"/>
        </w:rPr>
        <w:t xml:space="preserve"> itu</w:t>
      </w:r>
      <w:r w:rsidRPr="00340462">
        <w:rPr>
          <w:rFonts w:ascii="Palatino Linotype" w:hAnsi="Palatino Linotype"/>
          <w:sz w:val="22"/>
          <w:szCs w:val="22"/>
        </w:rPr>
        <w:t xml:space="preserve">, penelitian ini menggunakan </w:t>
      </w:r>
      <w:r w:rsidRPr="00340462">
        <w:rPr>
          <w:rFonts w:ascii="Palatino Linotype" w:hAnsi="Palatino Linotype"/>
          <w:bCs/>
          <w:sz w:val="22"/>
          <w:szCs w:val="22"/>
        </w:rPr>
        <w:t>triangulasi sumber</w:t>
      </w:r>
      <w:r w:rsidRPr="00340462">
        <w:rPr>
          <w:rFonts w:ascii="Palatino Linotype" w:hAnsi="Palatino Linotype"/>
          <w:sz w:val="22"/>
          <w:szCs w:val="22"/>
        </w:rPr>
        <w:t xml:space="preserve"> dengan membandingkan data dari FGD, wawancara, dan penyuluhan.</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Selain itu, peneliti melakukan</w:t>
      </w:r>
      <w:r w:rsidRPr="00340462">
        <w:rPr>
          <w:rFonts w:ascii="Palatino Linotype" w:hAnsi="Palatino Linotype"/>
          <w:b/>
          <w:i/>
          <w:sz w:val="22"/>
          <w:szCs w:val="22"/>
        </w:rPr>
        <w:t xml:space="preserve"> </w:t>
      </w:r>
      <w:r w:rsidRPr="00340462">
        <w:rPr>
          <w:rFonts w:ascii="Palatino Linotype" w:hAnsi="Palatino Linotype"/>
          <w:bCs/>
          <w:i/>
          <w:sz w:val="22"/>
          <w:szCs w:val="22"/>
        </w:rPr>
        <w:t>member-checking</w:t>
      </w:r>
      <w:r w:rsidRPr="00340462">
        <w:rPr>
          <w:rFonts w:ascii="Palatino Linotype" w:hAnsi="Palatino Linotype"/>
          <w:sz w:val="22"/>
          <w:szCs w:val="22"/>
        </w:rPr>
        <w:t xml:space="preserve"> dengan para peserta untuk memastikan bahwa hasil analisis sesuai dengan pengalaman dan pandangan mereka.</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Langkah ini meningkatkan keandalan dan akurasi data yang diperoleh.</w:t>
      </w:r>
      <w:proofErr w:type="gramEnd"/>
      <w:r w:rsidR="00E13562">
        <w:rPr>
          <w:rFonts w:ascii="Palatino Linotype" w:hAnsi="Palatino Linotype"/>
          <w:sz w:val="22"/>
          <w:szCs w:val="22"/>
        </w:rPr>
        <w:t xml:space="preserve"> </w:t>
      </w:r>
      <w:proofErr w:type="gramStart"/>
      <w:r w:rsidRPr="00340462">
        <w:rPr>
          <w:rFonts w:ascii="Palatino Linotype" w:hAnsi="Palatino Linotype"/>
          <w:sz w:val="22"/>
          <w:szCs w:val="22"/>
        </w:rPr>
        <w:t>Hasil dari penelitian ini diharapkan dapat mengidentifikasi faktor-faktor utama penyebab kekerasan pada remaja, termasuk dari aspek individu, keluarga, sekolah, dan lingkungan sosial.</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Selain itu, penelitian ini juga bertujuan untuk mengevaluasi efektivitas pendekatan preventif, khususnya melalui Bimbingan dan Penyuluhan Islam.</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Dengan hasil ini, penelitian diharapkan memberikan kontribusi nyata dalam pengembangan kebijakan dan program intervensi yang lebih tepat sasaran.</w:t>
      </w:r>
      <w:proofErr w:type="gramEnd"/>
      <w:r w:rsidRPr="00340462">
        <w:rPr>
          <w:rFonts w:ascii="Palatino Linotype" w:hAnsi="Palatino Linotype"/>
          <w:sz w:val="22"/>
          <w:szCs w:val="22"/>
        </w:rPr>
        <w:t xml:space="preserve"> </w:t>
      </w:r>
      <w:proofErr w:type="gramStart"/>
      <w:r w:rsidR="001270F3" w:rsidRPr="00340462">
        <w:rPr>
          <w:rFonts w:ascii="Palatino Linotype" w:hAnsi="Palatino Linotype"/>
          <w:sz w:val="22"/>
          <w:szCs w:val="22"/>
        </w:rPr>
        <w:t xml:space="preserve">Sehingga </w:t>
      </w:r>
      <w:r w:rsidRPr="00340462">
        <w:rPr>
          <w:rFonts w:ascii="Palatino Linotype" w:hAnsi="Palatino Linotype"/>
          <w:sz w:val="22"/>
          <w:szCs w:val="22"/>
        </w:rPr>
        <w:t>penelitian ini dapat meningkatkan kesadaran masyarakat dan pihak terkait mengenai pentingnya upaya preventif dalam menanggulangi kekerasan pada remaja, terutama di era digital yang penuh tantangan baru</w:t>
      </w:r>
      <w:r w:rsidR="002E0BB4" w:rsidRPr="00340462">
        <w:rPr>
          <w:rFonts w:ascii="Palatino Linotype" w:hAnsi="Palatino Linotype"/>
          <w:sz w:val="22"/>
          <w:szCs w:val="22"/>
        </w:rPr>
        <w:t>.</w:t>
      </w:r>
      <w:proofErr w:type="gramEnd"/>
      <w:r w:rsidR="004E229A">
        <w:rPr>
          <w:rStyle w:val="FootnoteReference"/>
        </w:rPr>
        <w:footnoteReference w:id="20"/>
      </w:r>
    </w:p>
    <w:p w14:paraId="1A5E6702" w14:textId="77777777" w:rsidR="003F52C1" w:rsidRDefault="006F3B5C" w:rsidP="003F52C1">
      <w:pPr>
        <w:spacing w:before="240" w:line="276" w:lineRule="auto"/>
        <w:jc w:val="both"/>
        <w:rPr>
          <w:rFonts w:ascii="Palatino Linotype" w:hAnsi="Palatino Linotype"/>
          <w:sz w:val="22"/>
          <w:szCs w:val="22"/>
        </w:rPr>
      </w:pPr>
      <w:r w:rsidRPr="00340462">
        <w:rPr>
          <w:rFonts w:ascii="Palatino Linotype" w:hAnsi="Palatino Linotype"/>
          <w:b/>
          <w:bCs/>
          <w:color w:val="000000"/>
          <w:sz w:val="22"/>
          <w:szCs w:val="22"/>
        </w:rPr>
        <w:t>Hasil dan Pembahasan</w:t>
      </w:r>
    </w:p>
    <w:p w14:paraId="5DB48A2F" w14:textId="32A26941" w:rsidR="00474D9F" w:rsidRPr="00340462" w:rsidRDefault="00474D9F" w:rsidP="003F52C1">
      <w:pPr>
        <w:spacing w:before="240" w:line="276" w:lineRule="auto"/>
        <w:ind w:firstLine="720"/>
        <w:jc w:val="both"/>
        <w:rPr>
          <w:rFonts w:ascii="Palatino Linotype" w:hAnsi="Palatino Linotype"/>
          <w:sz w:val="22"/>
          <w:szCs w:val="22"/>
        </w:rPr>
      </w:pPr>
      <w:r w:rsidRPr="00340462">
        <w:rPr>
          <w:rFonts w:ascii="Palatino Linotype" w:hAnsi="Palatino Linotype"/>
          <w:sz w:val="22"/>
          <w:szCs w:val="22"/>
        </w:rPr>
        <w:t xml:space="preserve">Hasil penelitian ini menunjukkan bahwa kekerasan pada remaja </w:t>
      </w:r>
      <w:proofErr w:type="gramStart"/>
      <w:r w:rsidRPr="00340462">
        <w:rPr>
          <w:rFonts w:ascii="Palatino Linotype" w:hAnsi="Palatino Linotype"/>
          <w:sz w:val="22"/>
          <w:szCs w:val="22"/>
        </w:rPr>
        <w:t>usia</w:t>
      </w:r>
      <w:proofErr w:type="gramEnd"/>
      <w:r w:rsidRPr="00340462">
        <w:rPr>
          <w:rFonts w:ascii="Palatino Linotype" w:hAnsi="Palatino Linotype"/>
          <w:sz w:val="22"/>
          <w:szCs w:val="22"/>
        </w:rPr>
        <w:t xml:space="preserve"> 12-19 tahun disebabkan oleh berbagai faktor yang kompleks, melibatkan aspek individu, keluarga, sekolah, dan lingkungan sosial. </w:t>
      </w:r>
      <w:proofErr w:type="gramStart"/>
      <w:r w:rsidRPr="00340462">
        <w:rPr>
          <w:rFonts w:ascii="Palatino Linotype" w:hAnsi="Palatino Linotype"/>
          <w:sz w:val="22"/>
          <w:szCs w:val="22"/>
        </w:rPr>
        <w:t>Faktor individu mencakup masalah kesehatan mental seperti stres, kecemasan, dan depresi yang meningkatkan risiko perilaku agresif.</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 xml:space="preserve">Beberapa remaja yang diwawancarai juga menunjukkan kecenderungan perilaku agresif, baik secara fisik </w:t>
      </w:r>
      <w:r w:rsidRPr="00340462">
        <w:rPr>
          <w:rFonts w:ascii="Palatino Linotype" w:hAnsi="Palatino Linotype"/>
          <w:sz w:val="22"/>
          <w:szCs w:val="22"/>
        </w:rPr>
        <w:lastRenderedPageBreak/>
        <w:t>maupun verbal, sebagai respons terhadap konflik.</w:t>
      </w:r>
      <w:proofErr w:type="gramEnd"/>
      <w:r w:rsidR="004E229A">
        <w:rPr>
          <w:rStyle w:val="FootnoteReference"/>
        </w:rPr>
        <w:footnoteReference w:id="21"/>
      </w:r>
      <w:r w:rsidRPr="00340462">
        <w:rPr>
          <w:rFonts w:ascii="Palatino Linotype" w:hAnsi="Palatino Linotype"/>
          <w:sz w:val="22"/>
          <w:szCs w:val="22"/>
        </w:rPr>
        <w:t xml:space="preserve"> </w:t>
      </w:r>
      <w:proofErr w:type="gramStart"/>
      <w:r w:rsidR="005D188B" w:rsidRPr="00340462">
        <w:rPr>
          <w:rFonts w:ascii="Palatino Linotype" w:hAnsi="Palatino Linotype"/>
          <w:sz w:val="22"/>
          <w:szCs w:val="22"/>
        </w:rPr>
        <w:t>P</w:t>
      </w:r>
      <w:r w:rsidRPr="00340462">
        <w:rPr>
          <w:rFonts w:ascii="Palatino Linotype" w:hAnsi="Palatino Linotype"/>
          <w:sz w:val="22"/>
          <w:szCs w:val="22"/>
        </w:rPr>
        <w:t>engalaman trauma di masa lalu, seperti menjadi korban kekerasan fisik atau verbal, memperparah risiko kekerasan pada remaja dan memengaruhi pola interaksi sosial mereka.</w:t>
      </w:r>
      <w:proofErr w:type="gramEnd"/>
      <w:r w:rsidR="004E229A">
        <w:rPr>
          <w:rStyle w:val="FootnoteReference"/>
        </w:rPr>
        <w:footnoteReference w:id="22"/>
      </w:r>
      <w:r w:rsidRPr="00340462">
        <w:rPr>
          <w:rFonts w:ascii="Palatino Linotype" w:hAnsi="Palatino Linotype"/>
          <w:sz w:val="22"/>
          <w:szCs w:val="22"/>
        </w:rPr>
        <w:t xml:space="preserve"> </w:t>
      </w:r>
      <w:proofErr w:type="gramStart"/>
      <w:r w:rsidRPr="00340462">
        <w:rPr>
          <w:rFonts w:ascii="Palatino Linotype" w:hAnsi="Palatino Linotype"/>
          <w:sz w:val="22"/>
          <w:szCs w:val="22"/>
        </w:rPr>
        <w:t>Faktor ini menunjukkan bahwa kesehatan mental dan pengalaman traumatis merupakan elemen kunci yang perlu dip</w:t>
      </w:r>
      <w:r w:rsidR="00E13562">
        <w:rPr>
          <w:rFonts w:ascii="Palatino Linotype" w:hAnsi="Palatino Linotype"/>
          <w:sz w:val="22"/>
          <w:szCs w:val="22"/>
        </w:rPr>
        <w:t>erhatikan dalam upaya preventif.</w:t>
      </w:r>
      <w:proofErr w:type="gramEnd"/>
      <w:r w:rsidR="00E13562">
        <w:rPr>
          <w:rFonts w:ascii="Palatino Linotype" w:hAnsi="Palatino Linotype"/>
          <w:sz w:val="22"/>
          <w:szCs w:val="22"/>
        </w:rPr>
        <w:t xml:space="preserve"> </w:t>
      </w:r>
      <w:r w:rsidR="004E229A">
        <w:rPr>
          <w:rStyle w:val="FootnoteReference"/>
        </w:rPr>
        <w:footnoteReference w:id="23"/>
      </w:r>
    </w:p>
    <w:tbl>
      <w:tblPr>
        <w:tblStyle w:val="LightShading-Accent1"/>
        <w:tblW w:w="0" w:type="auto"/>
        <w:tblLook w:val="04A0" w:firstRow="1" w:lastRow="0" w:firstColumn="1" w:lastColumn="0" w:noHBand="0" w:noVBand="1"/>
      </w:tblPr>
      <w:tblGrid>
        <w:gridCol w:w="1661"/>
        <w:gridCol w:w="2522"/>
        <w:gridCol w:w="2949"/>
      </w:tblGrid>
      <w:tr w:rsidR="00824506" w:rsidRPr="00340462" w14:paraId="1C5253A6" w14:textId="77777777" w:rsidTr="0034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0CEDAC" w14:textId="77777777" w:rsidR="00824506" w:rsidRPr="00340462" w:rsidRDefault="00824506" w:rsidP="00340462">
            <w:pPr>
              <w:spacing w:line="276" w:lineRule="auto"/>
              <w:rPr>
                <w:rFonts w:ascii="Palatino Linotype" w:hAnsi="Palatino Linotype"/>
                <w:sz w:val="22"/>
                <w:szCs w:val="22"/>
              </w:rPr>
            </w:pPr>
            <w:r w:rsidRPr="00340462">
              <w:rPr>
                <w:rStyle w:val="Strong"/>
                <w:rFonts w:ascii="Palatino Linotype" w:hAnsi="Palatino Linotype"/>
                <w:sz w:val="22"/>
                <w:szCs w:val="22"/>
              </w:rPr>
              <w:t>Sosialisasi dan Penyuluhan</w:t>
            </w:r>
          </w:p>
        </w:tc>
        <w:tc>
          <w:tcPr>
            <w:tcW w:w="0" w:type="auto"/>
            <w:hideMark/>
          </w:tcPr>
          <w:p w14:paraId="7606CE27" w14:textId="77777777" w:rsidR="00824506" w:rsidRPr="00340462" w:rsidRDefault="00824506" w:rsidP="00340462">
            <w:pPr>
              <w:spacing w:line="276"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 Meningkatkan kesadaran remaja tentang bahaya kekerasan</w:t>
            </w:r>
          </w:p>
        </w:tc>
        <w:tc>
          <w:tcPr>
            <w:tcW w:w="0" w:type="auto"/>
            <w:hideMark/>
          </w:tcPr>
          <w:p w14:paraId="7E1F92DE" w14:textId="77777777" w:rsidR="00824506" w:rsidRPr="00340462" w:rsidRDefault="00824506" w:rsidP="00340462">
            <w:pPr>
              <w:spacing w:line="276"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Remaja lebih memahami dampak kekerasan dan cara pencegahan.</w:t>
            </w:r>
          </w:p>
        </w:tc>
      </w:tr>
      <w:tr w:rsidR="00824506" w:rsidRPr="00340462" w14:paraId="41028C91" w14:textId="77777777" w:rsidTr="0034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5FCAAB" w14:textId="77777777" w:rsidR="00824506" w:rsidRPr="00340462" w:rsidRDefault="00824506" w:rsidP="00340462">
            <w:pPr>
              <w:spacing w:line="276" w:lineRule="auto"/>
              <w:rPr>
                <w:rFonts w:ascii="Palatino Linotype" w:hAnsi="Palatino Linotype"/>
                <w:sz w:val="22"/>
                <w:szCs w:val="22"/>
              </w:rPr>
            </w:pPr>
          </w:p>
        </w:tc>
        <w:tc>
          <w:tcPr>
            <w:tcW w:w="0" w:type="auto"/>
            <w:hideMark/>
          </w:tcPr>
          <w:p w14:paraId="7EEEC0E8" w14:textId="77777777" w:rsidR="00824506" w:rsidRPr="00340462" w:rsidRDefault="00824506" w:rsidP="0034046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 Mengedukasi nilai-nilai damai melalui pendekatan agama</w:t>
            </w:r>
          </w:p>
        </w:tc>
        <w:tc>
          <w:tcPr>
            <w:tcW w:w="0" w:type="auto"/>
            <w:hideMark/>
          </w:tcPr>
          <w:p w14:paraId="286B8CBA" w14:textId="77777777" w:rsidR="00824506" w:rsidRPr="00340462" w:rsidRDefault="00824506" w:rsidP="0034046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Peserta menerima nilai-nilai Islam seperti empati dan kasih sayang dengan baik.</w:t>
            </w:r>
          </w:p>
        </w:tc>
      </w:tr>
      <w:tr w:rsidR="00824506" w:rsidRPr="00340462" w14:paraId="690A42E0" w14:textId="77777777" w:rsidTr="00340462">
        <w:tc>
          <w:tcPr>
            <w:cnfStyle w:val="001000000000" w:firstRow="0" w:lastRow="0" w:firstColumn="1" w:lastColumn="0" w:oddVBand="0" w:evenVBand="0" w:oddHBand="0" w:evenHBand="0" w:firstRowFirstColumn="0" w:firstRowLastColumn="0" w:lastRowFirstColumn="0" w:lastRowLastColumn="0"/>
            <w:tcW w:w="0" w:type="auto"/>
            <w:hideMark/>
          </w:tcPr>
          <w:p w14:paraId="19D77E14" w14:textId="77777777" w:rsidR="00824506" w:rsidRPr="00340462" w:rsidRDefault="00824506" w:rsidP="00340462">
            <w:pPr>
              <w:spacing w:line="276" w:lineRule="auto"/>
              <w:rPr>
                <w:rFonts w:ascii="Palatino Linotype" w:hAnsi="Palatino Linotype"/>
                <w:sz w:val="22"/>
                <w:szCs w:val="22"/>
              </w:rPr>
            </w:pPr>
            <w:r w:rsidRPr="00340462">
              <w:rPr>
                <w:rStyle w:val="Strong"/>
                <w:rFonts w:ascii="Palatino Linotype" w:hAnsi="Palatino Linotype"/>
                <w:sz w:val="22"/>
                <w:szCs w:val="22"/>
              </w:rPr>
              <w:t>Intervensi Konselor</w:t>
            </w:r>
          </w:p>
        </w:tc>
        <w:tc>
          <w:tcPr>
            <w:tcW w:w="0" w:type="auto"/>
            <w:hideMark/>
          </w:tcPr>
          <w:p w14:paraId="7B0C9237" w14:textId="77777777" w:rsidR="00824506" w:rsidRPr="00340462" w:rsidRDefault="00824506" w:rsidP="0034046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 Memberikan pendampingan emosional</w:t>
            </w:r>
          </w:p>
        </w:tc>
        <w:tc>
          <w:tcPr>
            <w:tcW w:w="0" w:type="auto"/>
            <w:hideMark/>
          </w:tcPr>
          <w:p w14:paraId="2C5236BA" w14:textId="77777777" w:rsidR="00824506" w:rsidRPr="00340462" w:rsidRDefault="00824506" w:rsidP="0034046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Remaja yang terlibat kekerasan menunjukkan perbaikan sikap setelah konseling.</w:t>
            </w:r>
          </w:p>
        </w:tc>
      </w:tr>
      <w:tr w:rsidR="00824506" w:rsidRPr="00340462" w14:paraId="6C6A6750" w14:textId="77777777" w:rsidTr="0034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B48C40" w14:textId="77777777" w:rsidR="00824506" w:rsidRPr="00340462" w:rsidRDefault="00824506" w:rsidP="00340462">
            <w:pPr>
              <w:spacing w:line="276" w:lineRule="auto"/>
              <w:rPr>
                <w:rFonts w:ascii="Palatino Linotype" w:hAnsi="Palatino Linotype"/>
                <w:sz w:val="22"/>
                <w:szCs w:val="22"/>
              </w:rPr>
            </w:pPr>
          </w:p>
        </w:tc>
        <w:tc>
          <w:tcPr>
            <w:tcW w:w="0" w:type="auto"/>
            <w:hideMark/>
          </w:tcPr>
          <w:p w14:paraId="2E755D46" w14:textId="77777777" w:rsidR="00824506" w:rsidRPr="00340462" w:rsidRDefault="00824506" w:rsidP="0034046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 Terbatasnya jumlah konselor</w:t>
            </w:r>
          </w:p>
        </w:tc>
        <w:tc>
          <w:tcPr>
            <w:tcW w:w="0" w:type="auto"/>
            <w:hideMark/>
          </w:tcPr>
          <w:p w14:paraId="67882117" w14:textId="77777777" w:rsidR="00824506" w:rsidRPr="00340462" w:rsidRDefault="00824506" w:rsidP="0034046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Beberapa sekolah tidak memiliki cukup konselor untuk menangani semua kasus.</w:t>
            </w:r>
          </w:p>
        </w:tc>
      </w:tr>
      <w:tr w:rsidR="00824506" w:rsidRPr="00340462" w14:paraId="3E5F60DB" w14:textId="77777777" w:rsidTr="00340462">
        <w:tc>
          <w:tcPr>
            <w:cnfStyle w:val="001000000000" w:firstRow="0" w:lastRow="0" w:firstColumn="1" w:lastColumn="0" w:oddVBand="0" w:evenVBand="0" w:oddHBand="0" w:evenHBand="0" w:firstRowFirstColumn="0" w:firstRowLastColumn="0" w:lastRowFirstColumn="0" w:lastRowLastColumn="0"/>
            <w:tcW w:w="0" w:type="auto"/>
            <w:hideMark/>
          </w:tcPr>
          <w:p w14:paraId="490A60D9" w14:textId="77777777" w:rsidR="00824506" w:rsidRPr="00340462" w:rsidRDefault="00824506" w:rsidP="00340462">
            <w:pPr>
              <w:spacing w:line="276" w:lineRule="auto"/>
              <w:rPr>
                <w:rFonts w:ascii="Palatino Linotype" w:hAnsi="Palatino Linotype"/>
                <w:sz w:val="22"/>
                <w:szCs w:val="22"/>
              </w:rPr>
            </w:pPr>
            <w:r w:rsidRPr="00340462">
              <w:rPr>
                <w:rStyle w:val="Strong"/>
                <w:rFonts w:ascii="Palatino Linotype" w:hAnsi="Palatino Linotype"/>
                <w:sz w:val="22"/>
                <w:szCs w:val="22"/>
              </w:rPr>
              <w:lastRenderedPageBreak/>
              <w:t>Layanan Kesehatan</w:t>
            </w:r>
          </w:p>
        </w:tc>
        <w:tc>
          <w:tcPr>
            <w:tcW w:w="0" w:type="auto"/>
            <w:hideMark/>
          </w:tcPr>
          <w:p w14:paraId="2E32372E" w14:textId="77777777" w:rsidR="00824506" w:rsidRPr="00340462" w:rsidRDefault="00824506" w:rsidP="0034046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 Membantu mengatasi trauma melalui konseling psikologis</w:t>
            </w:r>
          </w:p>
        </w:tc>
        <w:tc>
          <w:tcPr>
            <w:tcW w:w="0" w:type="auto"/>
            <w:hideMark/>
          </w:tcPr>
          <w:p w14:paraId="577BAB16" w14:textId="77777777" w:rsidR="00824506" w:rsidRPr="00340462" w:rsidRDefault="00824506" w:rsidP="0034046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Konseling memberikan dampak positif pada pemulihan emosional remaja.</w:t>
            </w:r>
          </w:p>
        </w:tc>
      </w:tr>
      <w:tr w:rsidR="00824506" w:rsidRPr="00340462" w14:paraId="0CEAB779" w14:textId="77777777" w:rsidTr="0034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1380AE" w14:textId="77777777" w:rsidR="00824506" w:rsidRPr="00340462" w:rsidRDefault="00824506" w:rsidP="00340462">
            <w:pPr>
              <w:spacing w:line="276" w:lineRule="auto"/>
              <w:rPr>
                <w:rFonts w:ascii="Palatino Linotype" w:hAnsi="Palatino Linotype"/>
                <w:sz w:val="22"/>
                <w:szCs w:val="22"/>
              </w:rPr>
            </w:pPr>
          </w:p>
        </w:tc>
        <w:tc>
          <w:tcPr>
            <w:tcW w:w="0" w:type="auto"/>
            <w:hideMark/>
          </w:tcPr>
          <w:p w14:paraId="433C8C38" w14:textId="77777777" w:rsidR="00824506" w:rsidRPr="00340462" w:rsidRDefault="00824506" w:rsidP="0034046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 Akses terbatas ke layanan ini di wilayah tertentu</w:t>
            </w:r>
          </w:p>
        </w:tc>
        <w:tc>
          <w:tcPr>
            <w:tcW w:w="0" w:type="auto"/>
            <w:hideMark/>
          </w:tcPr>
          <w:p w14:paraId="04DC27AC" w14:textId="77777777" w:rsidR="00824506" w:rsidRPr="00340462" w:rsidRDefault="00824506" w:rsidP="0034046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Remaja di daerah terpencil sulit mendapatkan bantuan psikologis.</w:t>
            </w:r>
          </w:p>
        </w:tc>
      </w:tr>
      <w:tr w:rsidR="00824506" w:rsidRPr="00340462" w14:paraId="2333C1C1" w14:textId="77777777" w:rsidTr="00340462">
        <w:tc>
          <w:tcPr>
            <w:cnfStyle w:val="001000000000" w:firstRow="0" w:lastRow="0" w:firstColumn="1" w:lastColumn="0" w:oddVBand="0" w:evenVBand="0" w:oddHBand="0" w:evenHBand="0" w:firstRowFirstColumn="0" w:firstRowLastColumn="0" w:lastRowFirstColumn="0" w:lastRowLastColumn="0"/>
            <w:tcW w:w="0" w:type="auto"/>
            <w:hideMark/>
          </w:tcPr>
          <w:p w14:paraId="238D4319" w14:textId="77777777" w:rsidR="00824506" w:rsidRPr="00340462" w:rsidRDefault="00824506" w:rsidP="00340462">
            <w:pPr>
              <w:spacing w:line="276" w:lineRule="auto"/>
              <w:rPr>
                <w:rFonts w:ascii="Palatino Linotype" w:hAnsi="Palatino Linotype"/>
                <w:sz w:val="22"/>
                <w:szCs w:val="22"/>
              </w:rPr>
            </w:pPr>
            <w:r w:rsidRPr="00340462">
              <w:rPr>
                <w:rStyle w:val="Strong"/>
                <w:rFonts w:ascii="Palatino Linotype" w:hAnsi="Palatino Linotype"/>
                <w:sz w:val="22"/>
                <w:szCs w:val="22"/>
              </w:rPr>
              <w:t>Pendekatan Keagamaan</w:t>
            </w:r>
          </w:p>
        </w:tc>
        <w:tc>
          <w:tcPr>
            <w:tcW w:w="0" w:type="auto"/>
            <w:hideMark/>
          </w:tcPr>
          <w:p w14:paraId="7D53DB03" w14:textId="6ABAAE18" w:rsidR="00824506" w:rsidRPr="00340462" w:rsidRDefault="00824506" w:rsidP="0034046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 xml:space="preserve">- Menanamkan nilai empati dan kasih </w:t>
            </w:r>
            <w:r w:rsidR="00BB61D1" w:rsidRPr="00340462">
              <w:rPr>
                <w:rFonts w:ascii="Palatino Linotype" w:hAnsi="Palatino Linotype"/>
                <w:sz w:val="22"/>
                <w:szCs w:val="22"/>
              </w:rPr>
              <w:t>saying</w:t>
            </w:r>
          </w:p>
        </w:tc>
        <w:tc>
          <w:tcPr>
            <w:tcW w:w="0" w:type="auto"/>
            <w:hideMark/>
          </w:tcPr>
          <w:p w14:paraId="1506067E" w14:textId="77777777" w:rsidR="00824506" w:rsidRPr="00340462" w:rsidRDefault="00824506" w:rsidP="0034046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340462">
              <w:rPr>
                <w:rFonts w:ascii="Palatino Linotype" w:hAnsi="Palatino Linotype"/>
                <w:sz w:val="22"/>
                <w:szCs w:val="22"/>
              </w:rPr>
              <w:t>Nilai-nilai Islam dipandang relevan dan efektif untuk mendorong perubahan perilaku remaja.</w:t>
            </w:r>
          </w:p>
        </w:tc>
      </w:tr>
    </w:tbl>
    <w:p w14:paraId="1388691C" w14:textId="4F07A90B" w:rsidR="00F01E9C" w:rsidRPr="00340462" w:rsidRDefault="00F01E9C" w:rsidP="00FB016F">
      <w:pPr>
        <w:spacing w:before="100" w:beforeAutospacing="1" w:after="100" w:afterAutospacing="1" w:line="276" w:lineRule="auto"/>
        <w:jc w:val="both"/>
        <w:rPr>
          <w:rFonts w:ascii="Palatino Linotype" w:hAnsi="Palatino Linotype"/>
          <w:sz w:val="22"/>
          <w:szCs w:val="22"/>
        </w:rPr>
      </w:pPr>
      <w:r w:rsidRPr="00340462">
        <w:rPr>
          <w:rFonts w:ascii="Palatino Linotype" w:hAnsi="Palatino Linotype"/>
          <w:sz w:val="22"/>
          <w:szCs w:val="22"/>
        </w:rPr>
        <w:t xml:space="preserve">Pada Segi </w:t>
      </w:r>
      <w:r w:rsidR="00824506" w:rsidRPr="00340462">
        <w:rPr>
          <w:rFonts w:ascii="Palatino Linotype" w:hAnsi="Palatino Linotype"/>
          <w:sz w:val="22"/>
          <w:szCs w:val="22"/>
        </w:rPr>
        <w:t>Keluarga</w:t>
      </w:r>
      <w:r w:rsidRPr="00340462">
        <w:rPr>
          <w:rFonts w:ascii="Palatino Linotype" w:hAnsi="Palatino Linotype"/>
          <w:sz w:val="22"/>
          <w:szCs w:val="22"/>
        </w:rPr>
        <w:t xml:space="preserve">, </w:t>
      </w:r>
      <w:r w:rsidR="00824506" w:rsidRPr="00340462">
        <w:rPr>
          <w:rFonts w:ascii="Palatino Linotype" w:hAnsi="Palatino Linotype"/>
          <w:sz w:val="22"/>
          <w:szCs w:val="22"/>
        </w:rPr>
        <w:t>H</w:t>
      </w:r>
      <w:r w:rsidR="00474D9F" w:rsidRPr="00340462">
        <w:rPr>
          <w:rFonts w:ascii="Palatino Linotype" w:hAnsi="Palatino Linotype"/>
          <w:sz w:val="22"/>
          <w:szCs w:val="22"/>
        </w:rPr>
        <w:t>asil penelitian menemukan</w:t>
      </w:r>
      <w:r w:rsidR="00824506" w:rsidRPr="00340462">
        <w:rPr>
          <w:rFonts w:ascii="Palatino Linotype" w:hAnsi="Palatino Linotype"/>
          <w:sz w:val="22"/>
          <w:szCs w:val="22"/>
        </w:rPr>
        <w:t xml:space="preserve"> pada aspek </w:t>
      </w:r>
      <w:proofErr w:type="gramStart"/>
      <w:r w:rsidR="00824506" w:rsidRPr="00340462">
        <w:rPr>
          <w:rFonts w:ascii="Palatino Linotype" w:hAnsi="Palatino Linotype"/>
          <w:sz w:val="22"/>
          <w:szCs w:val="22"/>
        </w:rPr>
        <w:t xml:space="preserve">keluarga </w:t>
      </w:r>
      <w:r w:rsidR="00474D9F" w:rsidRPr="00340462">
        <w:rPr>
          <w:rFonts w:ascii="Palatino Linotype" w:hAnsi="Palatino Linotype"/>
          <w:sz w:val="22"/>
          <w:szCs w:val="22"/>
        </w:rPr>
        <w:t xml:space="preserve"> bahwa</w:t>
      </w:r>
      <w:proofErr w:type="gramEnd"/>
      <w:r w:rsidR="00474D9F" w:rsidRPr="00340462">
        <w:rPr>
          <w:rFonts w:ascii="Palatino Linotype" w:hAnsi="Palatino Linotype"/>
          <w:sz w:val="22"/>
          <w:szCs w:val="22"/>
        </w:rPr>
        <w:t xml:space="preserve"> dinamika keluarga yang buruk, seperti konflik antara orang tua atau komunikasi yang tidak efektif, menciptakan ketidakstabilan emosional pada remaja. </w:t>
      </w:r>
      <w:proofErr w:type="gramStart"/>
      <w:r w:rsidR="00474D9F" w:rsidRPr="00340462">
        <w:rPr>
          <w:rFonts w:ascii="Palatino Linotype" w:hAnsi="Palatino Linotype"/>
          <w:sz w:val="22"/>
          <w:szCs w:val="22"/>
        </w:rPr>
        <w:t>Kekerasan dalam rumah tangga juga diidentifikasi sebagai salah satu faktor signifikan, di mana remaja sering menjadi saksi atau korban langsung.</w:t>
      </w:r>
      <w:proofErr w:type="gramEnd"/>
      <w:r w:rsidR="00474D9F" w:rsidRPr="00340462">
        <w:rPr>
          <w:rFonts w:ascii="Palatino Linotype" w:hAnsi="Palatino Linotype"/>
          <w:sz w:val="22"/>
          <w:szCs w:val="22"/>
        </w:rPr>
        <w:t xml:space="preserve"> </w:t>
      </w:r>
      <w:r w:rsidR="004E229A">
        <w:rPr>
          <w:rStyle w:val="FootnoteReference"/>
        </w:rPr>
        <w:footnoteReference w:id="24"/>
      </w:r>
      <w:r w:rsidRPr="00340462">
        <w:rPr>
          <w:rFonts w:ascii="Palatino Linotype" w:hAnsi="Palatino Linotype"/>
          <w:sz w:val="22"/>
          <w:szCs w:val="22"/>
        </w:rPr>
        <w:t xml:space="preserve">  </w:t>
      </w:r>
      <w:proofErr w:type="gramStart"/>
      <w:r w:rsidRPr="00340462">
        <w:rPr>
          <w:rFonts w:ascii="Palatino Linotype" w:hAnsi="Palatino Linotype"/>
          <w:sz w:val="22"/>
          <w:szCs w:val="22"/>
        </w:rPr>
        <w:t>K</w:t>
      </w:r>
      <w:r w:rsidR="00474D9F" w:rsidRPr="00340462">
        <w:rPr>
          <w:rFonts w:ascii="Palatino Linotype" w:hAnsi="Palatino Linotype"/>
          <w:sz w:val="22"/>
          <w:szCs w:val="22"/>
        </w:rPr>
        <w:t>urangnya dukungan emosional dan keterlibatan orang tua dalam kehidupan sehari-hari remaja berkontribusi pada perilaku mereka yang berisiko.</w:t>
      </w:r>
      <w:proofErr w:type="gramEnd"/>
      <w:r w:rsidR="004E229A">
        <w:rPr>
          <w:rStyle w:val="FootnoteReference"/>
        </w:rPr>
        <w:footnoteReference w:id="25"/>
      </w:r>
      <w:r w:rsidR="00087564"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 xml:space="preserve">Minimnya perhatian orang tua terhadap kebutuhan emosional anak sering kali </w:t>
      </w:r>
      <w:r w:rsidR="00474D9F" w:rsidRPr="00340462">
        <w:rPr>
          <w:rFonts w:ascii="Palatino Linotype" w:hAnsi="Palatino Linotype"/>
          <w:sz w:val="22"/>
          <w:szCs w:val="22"/>
        </w:rPr>
        <w:lastRenderedPageBreak/>
        <w:t>membuat remaja mencari dukungan dari kelompok teman sebaya, yang tidak selalu memberikan pengaruh positif.</w:t>
      </w:r>
      <w:proofErr w:type="gramEnd"/>
      <w:r w:rsidR="004E229A">
        <w:rPr>
          <w:rStyle w:val="FootnoteReference"/>
        </w:rPr>
        <w:footnoteReference w:id="26"/>
      </w:r>
    </w:p>
    <w:p w14:paraId="0DAECFE1" w14:textId="64979A71" w:rsidR="00F01E9C" w:rsidRPr="00340462" w:rsidRDefault="00F01E9C" w:rsidP="00340462">
      <w:pPr>
        <w:spacing w:before="100" w:beforeAutospacing="1" w:after="100" w:afterAutospacing="1" w:line="276" w:lineRule="auto"/>
        <w:ind w:firstLine="720"/>
        <w:jc w:val="both"/>
        <w:rPr>
          <w:rFonts w:ascii="Palatino Linotype" w:hAnsi="Palatino Linotype"/>
          <w:sz w:val="22"/>
          <w:szCs w:val="22"/>
        </w:rPr>
      </w:pPr>
      <w:r w:rsidRPr="00340462">
        <w:rPr>
          <w:rFonts w:ascii="Palatino Linotype" w:hAnsi="Palatino Linotype"/>
          <w:sz w:val="22"/>
          <w:szCs w:val="22"/>
        </w:rPr>
        <w:t>Dari Segi L</w:t>
      </w:r>
      <w:r w:rsidR="00824506" w:rsidRPr="00340462">
        <w:rPr>
          <w:rFonts w:ascii="Palatino Linotype" w:hAnsi="Palatino Linotype"/>
          <w:sz w:val="22"/>
          <w:szCs w:val="22"/>
        </w:rPr>
        <w:t xml:space="preserve">ingkungan </w:t>
      </w:r>
      <w:proofErr w:type="gramStart"/>
      <w:r w:rsidR="00824506" w:rsidRPr="00340462">
        <w:rPr>
          <w:rFonts w:ascii="Palatino Linotype" w:hAnsi="Palatino Linotype"/>
          <w:sz w:val="22"/>
          <w:szCs w:val="22"/>
        </w:rPr>
        <w:t>sekolah</w:t>
      </w:r>
      <w:r w:rsidRPr="00340462">
        <w:rPr>
          <w:rFonts w:ascii="Palatino Linotype" w:hAnsi="Palatino Linotype"/>
          <w:sz w:val="22"/>
          <w:szCs w:val="22"/>
        </w:rPr>
        <w:t xml:space="preserve"> ,</w:t>
      </w:r>
      <w:proofErr w:type="gramEnd"/>
      <w:r w:rsidRPr="00340462">
        <w:rPr>
          <w:rFonts w:ascii="Palatino Linotype" w:hAnsi="Palatino Linotype"/>
          <w:sz w:val="22"/>
          <w:szCs w:val="22"/>
        </w:rPr>
        <w:t xml:space="preserve"> </w:t>
      </w:r>
      <w:r w:rsidR="00474D9F" w:rsidRPr="00340462">
        <w:rPr>
          <w:rFonts w:ascii="Palatino Linotype" w:hAnsi="Palatino Linotype"/>
          <w:sz w:val="22"/>
          <w:szCs w:val="22"/>
        </w:rPr>
        <w:t>lingkungan yang tidak aman menjadi salah satu pemicu kekerasan.</w:t>
      </w:r>
      <w:r w:rsidR="004E229A">
        <w:rPr>
          <w:rStyle w:val="FootnoteReference"/>
        </w:rPr>
        <w:footnoteReference w:id="27"/>
      </w:r>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Kasus bullying yang terjadi tanpa pengawasan guru menimbulkan rasa tidak nyaman dan trauma pada korban, yang kadang-kadang juga berujung pada perilaku agresif sebagai bentuk balas dendam.</w:t>
      </w:r>
      <w:proofErr w:type="gramEnd"/>
      <w:r w:rsidR="004E229A">
        <w:rPr>
          <w:rStyle w:val="FootnoteReference"/>
        </w:rPr>
        <w:footnoteReference w:id="28"/>
      </w:r>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Tekanan akademik yang tinggi, termasuk beban tugas dan tuntutan prestasi, juga menjadi faktor yang memicu konflik antar siswa.</w:t>
      </w:r>
      <w:proofErr w:type="gramEnd"/>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Hal ini menunjukkan perlunya pengawasan yang lebih ketat dan pendekatan yang lebih mendukung dari pihak sekolah dalam menciptakan lingkungan belajar yang aman dan inklusif.</w:t>
      </w:r>
      <w:proofErr w:type="gramEnd"/>
    </w:p>
    <w:p w14:paraId="6E48C03A" w14:textId="270CDE68" w:rsidR="00474D9F" w:rsidRPr="00340462" w:rsidRDefault="00474D9F" w:rsidP="0034046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Faktor lingkungan sosial juga memainkan peran penting dalam terjadinya kekerasan pada remaja.</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Pengaruh negatif dari teman sebaya, terutama kelompok teman yang mendorong perilaku agresif atau berisiko, ditemukan sebagai salah satu faktor signifikan.</w:t>
      </w:r>
      <w:proofErr w:type="gramEnd"/>
      <w:r w:rsidRPr="00340462">
        <w:rPr>
          <w:rFonts w:ascii="Palatino Linotype" w:hAnsi="Palatino Linotype"/>
          <w:sz w:val="22"/>
          <w:szCs w:val="22"/>
        </w:rPr>
        <w:t xml:space="preserve"> Selain itu, </w:t>
      </w:r>
      <w:proofErr w:type="gramStart"/>
      <w:r w:rsidRPr="00340462">
        <w:rPr>
          <w:rFonts w:ascii="Palatino Linotype" w:hAnsi="Palatino Linotype"/>
          <w:sz w:val="22"/>
          <w:szCs w:val="22"/>
        </w:rPr>
        <w:t>norma</w:t>
      </w:r>
      <w:proofErr w:type="gramEnd"/>
      <w:r w:rsidRPr="00340462">
        <w:rPr>
          <w:rFonts w:ascii="Palatino Linotype" w:hAnsi="Palatino Linotype"/>
          <w:sz w:val="22"/>
          <w:szCs w:val="22"/>
        </w:rPr>
        <w:t xml:space="preserve"> sosial di beberapa komunitas yang mendukung kekerasan sebagai cara menyelesaikan konflik juga memperburuk situasi. </w:t>
      </w:r>
      <w:proofErr w:type="gramStart"/>
      <w:r w:rsidRPr="00340462">
        <w:rPr>
          <w:rFonts w:ascii="Palatino Linotype" w:hAnsi="Palatino Linotype"/>
          <w:sz w:val="22"/>
          <w:szCs w:val="22"/>
        </w:rPr>
        <w:t xml:space="preserve">Ketidakamanan lingkungan, seperti keberadaan geng, penggunaan </w:t>
      </w:r>
      <w:r w:rsidRPr="00340462">
        <w:rPr>
          <w:rFonts w:ascii="Palatino Linotype" w:hAnsi="Palatino Linotype"/>
          <w:sz w:val="22"/>
          <w:szCs w:val="22"/>
        </w:rPr>
        <w:lastRenderedPageBreak/>
        <w:t>narkoba, dan alkohol, meningkatkan kemungkinan remaja terlibat dalam tindakan kekerasan.</w:t>
      </w:r>
      <w:proofErr w:type="gramEnd"/>
      <w:r w:rsidR="004E229A">
        <w:rPr>
          <w:rStyle w:val="FootnoteReference"/>
        </w:rPr>
        <w:footnoteReference w:id="29"/>
      </w:r>
    </w:p>
    <w:p w14:paraId="661058D7" w14:textId="153963BF" w:rsidR="00824506" w:rsidRPr="00340462" w:rsidRDefault="00824506" w:rsidP="007001DF">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U</w:t>
      </w:r>
      <w:r w:rsidR="00474D9F" w:rsidRPr="00340462">
        <w:rPr>
          <w:rFonts w:ascii="Palatino Linotype" w:hAnsi="Palatino Linotype"/>
          <w:sz w:val="22"/>
          <w:szCs w:val="22"/>
        </w:rPr>
        <w:t>paya preventif, penelitian ini mengevaluasi beberapa pendekatan yang dilakukan, termasuk sosialisasi, penyuluhan, intervensi konselor, layanan kesehata</w:t>
      </w:r>
      <w:r w:rsidR="001270F3" w:rsidRPr="00340462">
        <w:rPr>
          <w:rFonts w:ascii="Palatino Linotype" w:hAnsi="Palatino Linotype"/>
          <w:sz w:val="22"/>
          <w:szCs w:val="22"/>
        </w:rPr>
        <w:t>n, dan pendekatan berbasis agama untuk meningkatkan moralitas pada remaja</w:t>
      </w:r>
      <w:r w:rsidR="00474D9F" w:rsidRPr="00340462">
        <w:rPr>
          <w:rFonts w:ascii="Palatino Linotype" w:hAnsi="Palatino Linotype"/>
          <w:sz w:val="22"/>
          <w:szCs w:val="22"/>
        </w:rPr>
        <w:t>.</w:t>
      </w:r>
      <w:proofErr w:type="gramEnd"/>
      <w:r w:rsidR="004E229A">
        <w:rPr>
          <w:rStyle w:val="FootnoteReference"/>
        </w:rPr>
        <w:footnoteReference w:id="30"/>
      </w:r>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Sosialisasi dan penyuluhan terbukti efektif dalam meningkatkan kesadaran remaja mengenai bahaya kekerasan dan langkah-langkah pencegahannya.</w:t>
      </w:r>
      <w:proofErr w:type="gramEnd"/>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Melalui penyuluhan interaktif, nilai-nilai positif seperti empati dan resolusi konflik diajarkan kepada remaja, yang sebagian besar menerima dengan baik.</w:t>
      </w:r>
      <w:proofErr w:type="gramEnd"/>
      <w:r w:rsidR="004E229A">
        <w:rPr>
          <w:rStyle w:val="FootnoteReference"/>
        </w:rPr>
        <w:footnoteReference w:id="31"/>
      </w:r>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Pendekatan berbasis agama, khususnya nilai-nilai Islam, juga berhasil menanamkan pentingnya kasih sayang dan toleransi dalam hubungan sosial.</w:t>
      </w:r>
      <w:proofErr w:type="gramEnd"/>
      <w:r w:rsidR="004E229A">
        <w:rPr>
          <w:rStyle w:val="FootnoteReference"/>
        </w:rPr>
        <w:footnoteReference w:id="32"/>
      </w:r>
      <w:r w:rsidR="007001DF">
        <w:rPr>
          <w:rFonts w:ascii="Palatino Linotype" w:hAnsi="Palatino Linotype"/>
          <w:sz w:val="22"/>
          <w:szCs w:val="22"/>
        </w:rPr>
        <w:t xml:space="preserve"> </w:t>
      </w:r>
      <w:proofErr w:type="gramStart"/>
      <w:r w:rsidR="00340462">
        <w:rPr>
          <w:rFonts w:ascii="Palatino Linotype" w:hAnsi="Palatino Linotype"/>
          <w:sz w:val="22"/>
          <w:szCs w:val="22"/>
        </w:rPr>
        <w:t xml:space="preserve">Meskipun </w:t>
      </w:r>
      <w:r w:rsidR="00474D9F" w:rsidRPr="00340462">
        <w:rPr>
          <w:rFonts w:ascii="Palatino Linotype" w:hAnsi="Palatino Linotype"/>
          <w:sz w:val="22"/>
          <w:szCs w:val="22"/>
        </w:rPr>
        <w:t>intervensi dari konselor sekolah memberikan dampak positif pada beberapa kasus, penelitian ini mencatat keterbatasan jumlah konselor yang tersedia, terutama di sekolah-sekolah di daerah terpencil.</w:t>
      </w:r>
      <w:proofErr w:type="gramEnd"/>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Layanan kesehatan, seperti konseling psikologis, juga memberikan dampak positif terhadap pemulihan emosional remaja yang mengalami trauma.</w:t>
      </w:r>
      <w:proofErr w:type="gramEnd"/>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lastRenderedPageBreak/>
        <w:t>Sayangnya, akses terhadap layanan ini masih menjadi tantangan di wilayah-wilayah tertentu.</w:t>
      </w:r>
      <w:proofErr w:type="gramEnd"/>
      <w:r w:rsidR="00474D9F" w:rsidRPr="00340462">
        <w:rPr>
          <w:rFonts w:ascii="Palatino Linotype" w:hAnsi="Palatino Linotype"/>
          <w:sz w:val="22"/>
          <w:szCs w:val="22"/>
        </w:rPr>
        <w:t xml:space="preserve"> </w:t>
      </w:r>
      <w:r w:rsidR="004E229A">
        <w:rPr>
          <w:rStyle w:val="FootnoteReference"/>
        </w:rPr>
        <w:footnoteReference w:id="33"/>
      </w:r>
    </w:p>
    <w:p w14:paraId="3B83B004" w14:textId="55B44BBC" w:rsidR="00474D9F" w:rsidRPr="00340462" w:rsidRDefault="00824506" w:rsidP="00B46FD2">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t>Secara keseluruhan, P</w:t>
      </w:r>
      <w:r w:rsidR="00474D9F" w:rsidRPr="00340462">
        <w:rPr>
          <w:rFonts w:ascii="Palatino Linotype" w:hAnsi="Palatino Linotype"/>
          <w:sz w:val="22"/>
          <w:szCs w:val="22"/>
        </w:rPr>
        <w:t>enelitian ini menunjukkan bahwa upaya preventif yang terintegrasi, melibatkan semua pihak terkait, sangat penting untuk mengatasi kekerasan pada remaja.</w:t>
      </w:r>
      <w:proofErr w:type="gramEnd"/>
      <w:r w:rsidR="00474D9F" w:rsidRPr="00340462">
        <w:rPr>
          <w:rFonts w:ascii="Palatino Linotype" w:hAnsi="Palatino Linotype"/>
          <w:sz w:val="22"/>
          <w:szCs w:val="22"/>
        </w:rPr>
        <w:t xml:space="preserve"> </w:t>
      </w:r>
      <w:proofErr w:type="gramStart"/>
      <w:r w:rsidR="00474D9F" w:rsidRPr="00340462">
        <w:rPr>
          <w:rFonts w:ascii="Palatino Linotype" w:hAnsi="Palatino Linotype"/>
          <w:sz w:val="22"/>
          <w:szCs w:val="22"/>
        </w:rPr>
        <w:t>Kombinasi antara pendidikan, pendekatan berbasis agama, dan layanan pendukung yang memadai dapat menjadi strategi yang efektif dalam menanggulangi masalah ini secara menyeluruh.</w:t>
      </w:r>
      <w:proofErr w:type="gramEnd"/>
      <w:r w:rsidR="004E229A">
        <w:rPr>
          <w:rStyle w:val="FootnoteReference"/>
        </w:rPr>
        <w:footnoteReference w:id="34"/>
      </w:r>
    </w:p>
    <w:p w14:paraId="6556477B" w14:textId="77777777" w:rsidR="006F3B5C" w:rsidRPr="00340462" w:rsidRDefault="006F3B5C" w:rsidP="00340462">
      <w:pPr>
        <w:spacing w:before="240" w:line="276" w:lineRule="auto"/>
        <w:jc w:val="both"/>
        <w:rPr>
          <w:rFonts w:ascii="Palatino Linotype" w:hAnsi="Palatino Linotype"/>
          <w:sz w:val="22"/>
          <w:szCs w:val="22"/>
        </w:rPr>
      </w:pPr>
      <w:r w:rsidRPr="00340462">
        <w:rPr>
          <w:rFonts w:ascii="Palatino Linotype" w:hAnsi="Palatino Linotype"/>
          <w:b/>
          <w:bCs/>
          <w:color w:val="000000"/>
          <w:sz w:val="22"/>
          <w:szCs w:val="22"/>
        </w:rPr>
        <w:t>Kesimpulan </w:t>
      </w:r>
    </w:p>
    <w:p w14:paraId="070AE2DB" w14:textId="27BE62DA" w:rsidR="00F01E9C" w:rsidRPr="00340462" w:rsidRDefault="00F01E9C" w:rsidP="00340462">
      <w:pPr>
        <w:spacing w:before="100" w:beforeAutospacing="1" w:after="100" w:afterAutospacing="1" w:line="276" w:lineRule="auto"/>
        <w:ind w:firstLine="720"/>
        <w:jc w:val="both"/>
        <w:rPr>
          <w:rFonts w:ascii="Palatino Linotype" w:hAnsi="Palatino Linotype"/>
          <w:sz w:val="22"/>
          <w:szCs w:val="22"/>
        </w:rPr>
      </w:pPr>
      <w:r w:rsidRPr="00340462">
        <w:rPr>
          <w:rFonts w:ascii="Palatino Linotype" w:hAnsi="Palatino Linotype"/>
          <w:sz w:val="22"/>
          <w:szCs w:val="22"/>
        </w:rPr>
        <w:t xml:space="preserve">Kekerasan pada remaja </w:t>
      </w:r>
      <w:proofErr w:type="gramStart"/>
      <w:r w:rsidRPr="00340462">
        <w:rPr>
          <w:rFonts w:ascii="Palatino Linotype" w:hAnsi="Palatino Linotype"/>
          <w:sz w:val="22"/>
          <w:szCs w:val="22"/>
        </w:rPr>
        <w:t>usia</w:t>
      </w:r>
      <w:proofErr w:type="gramEnd"/>
      <w:r w:rsidRPr="00340462">
        <w:rPr>
          <w:rFonts w:ascii="Palatino Linotype" w:hAnsi="Palatino Linotype"/>
          <w:sz w:val="22"/>
          <w:szCs w:val="22"/>
        </w:rPr>
        <w:t xml:space="preserve"> 12–19 tahun merupakan masalah yang kompleks dan melibatkan berbagai faktor, termasuk individu, keluarga, sekolah, dan lingkungan sosial. </w:t>
      </w:r>
      <w:proofErr w:type="gramStart"/>
      <w:r w:rsidRPr="00340462">
        <w:rPr>
          <w:rFonts w:ascii="Palatino Linotype" w:hAnsi="Palatino Linotype"/>
          <w:sz w:val="22"/>
          <w:szCs w:val="22"/>
        </w:rPr>
        <w:t>Faktor individu seperti masalah kesehatan mental dan pengalaman trauma, dinamika keluarga yang buruk, serta lingkungan sekolah dan sosial yang tidak mendukung terbukti berkontribusi signifikan terhadap munculnya perilaku kekerasan.</w:t>
      </w:r>
      <w:proofErr w:type="gramEnd"/>
      <w:r w:rsidRPr="00340462">
        <w:rPr>
          <w:rFonts w:ascii="Palatino Linotype" w:hAnsi="Palatino Linotype"/>
          <w:sz w:val="22"/>
          <w:szCs w:val="22"/>
        </w:rPr>
        <w:t xml:space="preserve"> Selain itu, pengaruh negatif teman sebaya dan </w:t>
      </w:r>
      <w:proofErr w:type="gramStart"/>
      <w:r w:rsidRPr="00340462">
        <w:rPr>
          <w:rFonts w:ascii="Palatino Linotype" w:hAnsi="Palatino Linotype"/>
          <w:sz w:val="22"/>
          <w:szCs w:val="22"/>
        </w:rPr>
        <w:t>norma</w:t>
      </w:r>
      <w:proofErr w:type="gramEnd"/>
      <w:r w:rsidRPr="00340462">
        <w:rPr>
          <w:rFonts w:ascii="Palatino Linotype" w:hAnsi="Palatino Linotype"/>
          <w:sz w:val="22"/>
          <w:szCs w:val="22"/>
        </w:rPr>
        <w:t xml:space="preserve"> sosial tertentu yang mendukung kekerasan memperburuk situasi ini. </w:t>
      </w:r>
      <w:proofErr w:type="gramStart"/>
      <w:r w:rsidRPr="00340462">
        <w:rPr>
          <w:rFonts w:ascii="Palatino Linotype" w:hAnsi="Palatino Linotype"/>
          <w:sz w:val="22"/>
          <w:szCs w:val="22"/>
        </w:rPr>
        <w:t>Data yang diperoleh juga menunjukkan bahwa meskipun upaya preventif seperti sosialisasi, penyuluhan, dan layanan konseling memberikan dampak positif, keterbatasan akses dan sumber daya masih menjadi tantangan besar.</w:t>
      </w:r>
      <w:proofErr w:type="gramEnd"/>
    </w:p>
    <w:p w14:paraId="7DC9B8A3" w14:textId="09BBD893" w:rsidR="00B46FD2" w:rsidRPr="00340462" w:rsidRDefault="00F01E9C" w:rsidP="00443E27">
      <w:pPr>
        <w:spacing w:before="100" w:beforeAutospacing="1" w:after="100" w:afterAutospacing="1" w:line="276" w:lineRule="auto"/>
        <w:ind w:firstLine="720"/>
        <w:jc w:val="both"/>
        <w:rPr>
          <w:rFonts w:ascii="Palatino Linotype" w:hAnsi="Palatino Linotype"/>
          <w:sz w:val="22"/>
          <w:szCs w:val="22"/>
        </w:rPr>
      </w:pPr>
      <w:proofErr w:type="gramStart"/>
      <w:r w:rsidRPr="00340462">
        <w:rPr>
          <w:rFonts w:ascii="Palatino Linotype" w:hAnsi="Palatino Linotype"/>
          <w:sz w:val="22"/>
          <w:szCs w:val="22"/>
        </w:rPr>
        <w:lastRenderedPageBreak/>
        <w:t>Berdasarkan temuan tersebut, penting untuk mengembangkan pendekatan preventif yang terintegrasi dan berkelanjutan untuk mengatasi masalah kekerasan pada remaja.</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Pendekatan ini perlu melibatkan berbagai pihak, termasuk keluarga, sekolah, komunitas, dan lembaga keagamaan, dengan penekanan pada pendidikan karakter, peningkatan kesadaran, dan penyediaan layanan pendukung.</w:t>
      </w:r>
      <w:proofErr w:type="gramEnd"/>
      <w:r w:rsidR="00B46FD2">
        <w:rPr>
          <w:rFonts w:ascii="Palatino Linotype" w:hAnsi="Palatino Linotype"/>
          <w:sz w:val="22"/>
          <w:szCs w:val="22"/>
        </w:rPr>
        <w:t xml:space="preserve"> </w:t>
      </w:r>
      <w:r w:rsidR="00B46FD2" w:rsidRPr="00340462">
        <w:rPr>
          <w:rFonts w:ascii="Palatino Linotype" w:hAnsi="Palatino Linotype"/>
          <w:sz w:val="22"/>
          <w:szCs w:val="22"/>
        </w:rPr>
        <w:t xml:space="preserve"> </w:t>
      </w:r>
      <w:proofErr w:type="gramStart"/>
      <w:r w:rsidRPr="00340462">
        <w:rPr>
          <w:rFonts w:ascii="Palatino Linotype" w:hAnsi="Palatino Linotype"/>
          <w:sz w:val="22"/>
          <w:szCs w:val="22"/>
        </w:rPr>
        <w:t>Nilai-nilai Islam yang diajarkan melalui bimbingan dan penyuluhan terbukti efektif dalam mendorong perilaku yang lebih positif dan mendukung hubungan sosial yang harmonis.</w:t>
      </w:r>
      <w:proofErr w:type="gramEnd"/>
      <w:r w:rsidRPr="00340462">
        <w:rPr>
          <w:rFonts w:ascii="Palatino Linotype" w:hAnsi="Palatino Linotype"/>
          <w:sz w:val="22"/>
          <w:szCs w:val="22"/>
        </w:rPr>
        <w:t xml:space="preserve"> </w:t>
      </w:r>
      <w:proofErr w:type="gramStart"/>
      <w:r w:rsidRPr="00340462">
        <w:rPr>
          <w:rFonts w:ascii="Palatino Linotype" w:hAnsi="Palatino Linotype"/>
          <w:sz w:val="22"/>
          <w:szCs w:val="22"/>
        </w:rPr>
        <w:t>Dengan demikian, penelitian ini memberikan dasar yang kuat untuk merancang program intervensi yang lebih tepat sasaran, guna menciptakan lingkungan yang aman dan mendukung bagi remaja.</w:t>
      </w:r>
      <w:proofErr w:type="gramEnd"/>
    </w:p>
    <w:p w14:paraId="7DBC9D0C" w14:textId="43051D11" w:rsidR="006F3B5C" w:rsidRDefault="006F3B5C" w:rsidP="00340462">
      <w:pPr>
        <w:spacing w:before="240" w:line="276" w:lineRule="auto"/>
        <w:jc w:val="both"/>
        <w:rPr>
          <w:rFonts w:ascii="Palatino Linotype" w:hAnsi="Palatino Linotype"/>
          <w:b/>
          <w:bCs/>
          <w:color w:val="000000"/>
          <w:sz w:val="22"/>
          <w:szCs w:val="22"/>
        </w:rPr>
      </w:pPr>
      <w:r w:rsidRPr="00824506">
        <w:rPr>
          <w:rFonts w:ascii="Palatino Linotype" w:hAnsi="Palatino Linotype"/>
          <w:b/>
          <w:bCs/>
          <w:color w:val="000000"/>
          <w:sz w:val="22"/>
          <w:szCs w:val="22"/>
        </w:rPr>
        <w:t>Daftar Pustaka</w:t>
      </w:r>
    </w:p>
    <w:p w14:paraId="006CF78E" w14:textId="4727C9B7" w:rsidR="004E229A" w:rsidRPr="004E229A" w:rsidRDefault="00F1649D" w:rsidP="008A7131">
      <w:pPr>
        <w:widowControl w:val="0"/>
        <w:autoSpaceDE w:val="0"/>
        <w:autoSpaceDN w:val="0"/>
        <w:adjustRightInd w:val="0"/>
        <w:spacing w:after="120"/>
        <w:ind w:left="480" w:hanging="480"/>
        <w:jc w:val="both"/>
        <w:rPr>
          <w:rFonts w:ascii="Palatino Linotype" w:hAnsi="Palatino Linotype"/>
          <w:noProof/>
          <w:sz w:val="22"/>
          <w:szCs w:val="24"/>
        </w:rPr>
      </w:pPr>
      <w:r>
        <w:rPr>
          <w:rFonts w:ascii="Palatino Linotype" w:hAnsi="Palatino Linotype" w:cs="Arial"/>
          <w:sz w:val="22"/>
          <w:szCs w:val="22"/>
          <w:lang w:val="id-ID"/>
        </w:rPr>
        <w:fldChar w:fldCharType="begin" w:fldLock="1"/>
      </w:r>
      <w:r>
        <w:rPr>
          <w:rFonts w:ascii="Palatino Linotype" w:hAnsi="Palatino Linotype" w:cs="Arial"/>
          <w:sz w:val="22"/>
          <w:szCs w:val="22"/>
          <w:lang w:val="id-ID"/>
        </w:rPr>
        <w:instrText xml:space="preserve">ADDIN Mendeley Bibliography CSL_BIBLIOGRAPHY </w:instrText>
      </w:r>
      <w:r>
        <w:rPr>
          <w:rFonts w:ascii="Palatino Linotype" w:hAnsi="Palatino Linotype" w:cs="Arial"/>
          <w:sz w:val="22"/>
          <w:szCs w:val="22"/>
          <w:lang w:val="id-ID"/>
        </w:rPr>
        <w:fldChar w:fldCharType="separate"/>
      </w:r>
      <w:r w:rsidR="004E229A" w:rsidRPr="004E229A">
        <w:rPr>
          <w:rFonts w:ascii="Palatino Linotype" w:hAnsi="Palatino Linotype"/>
          <w:noProof/>
          <w:sz w:val="22"/>
          <w:szCs w:val="24"/>
        </w:rPr>
        <w:t xml:space="preserve">Ardiansyah, Fino, Matsna Wilda Muqorona, Fariskha Yulfa Nurahma, and Muhammad Dodik Prasityo. “Strategi Penanganan Pelecehan Seksual Di Kalangan Remaja: Tinjauan Literatur.” </w:t>
      </w:r>
      <w:r w:rsidR="004E229A" w:rsidRPr="004E229A">
        <w:rPr>
          <w:rFonts w:ascii="Palatino Linotype" w:hAnsi="Palatino Linotype"/>
          <w:i/>
          <w:iCs/>
          <w:noProof/>
          <w:sz w:val="22"/>
          <w:szCs w:val="24"/>
        </w:rPr>
        <w:t>Jurnal Keperawatan Klinis Dan Komunitas (Clinical and Community Nursing Journal)</w:t>
      </w:r>
      <w:r w:rsidR="004E229A" w:rsidRPr="004E229A">
        <w:rPr>
          <w:rFonts w:ascii="Palatino Linotype" w:hAnsi="Palatino Linotype"/>
          <w:noProof/>
          <w:sz w:val="22"/>
          <w:szCs w:val="24"/>
        </w:rPr>
        <w:t xml:space="preserve"> 7, no. 2 (2023): 81. https://doi.org/10.22146/jkkk.78215.</w:t>
      </w:r>
    </w:p>
    <w:p w14:paraId="6F61BBD4"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Beno, J, A.P Silen, and M Yanti. “PENINGKATAN SOCIAL AWARENESS MAHASISWA BIMBINGAN PENYULUHAN ISLAM IAIN PONOROGO MELALUI KOMUNITAS NGAJI PRAMONOROGO.” </w:t>
      </w:r>
      <w:r w:rsidRPr="004E229A">
        <w:rPr>
          <w:rFonts w:ascii="Palatino Linotype" w:hAnsi="Palatino Linotype"/>
          <w:i/>
          <w:iCs/>
          <w:noProof/>
          <w:sz w:val="22"/>
          <w:szCs w:val="24"/>
        </w:rPr>
        <w:t>Braz Dent J.</w:t>
      </w:r>
      <w:r w:rsidRPr="004E229A">
        <w:rPr>
          <w:rFonts w:ascii="Palatino Linotype" w:hAnsi="Palatino Linotype"/>
          <w:noProof/>
          <w:sz w:val="22"/>
          <w:szCs w:val="24"/>
        </w:rPr>
        <w:t xml:space="preserve"> 33, no. 1 (2022): 1–12.</w:t>
      </w:r>
    </w:p>
    <w:p w14:paraId="136FAB88"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Dey Putri, Lidia Anjelina, Elindra Yetti, and Sofia Hartati. “Pengaruh Keterlibatan Orangtua Dan Regulasi Diri Terhadap Perilaku Bullying Anak Usia Dini.” </w:t>
      </w:r>
      <w:r w:rsidRPr="004E229A">
        <w:rPr>
          <w:rFonts w:ascii="Palatino Linotype" w:hAnsi="Palatino Linotype"/>
          <w:i/>
          <w:iCs/>
          <w:noProof/>
          <w:sz w:val="22"/>
          <w:szCs w:val="24"/>
        </w:rPr>
        <w:t>Jurnal Obsesi</w:t>
      </w:r>
      <w:r w:rsidRPr="004E229A">
        <w:rPr>
          <w:i/>
          <w:iCs/>
          <w:noProof/>
          <w:sz w:val="22"/>
          <w:szCs w:val="24"/>
        </w:rPr>
        <w:t> </w:t>
      </w:r>
      <w:r w:rsidRPr="004E229A">
        <w:rPr>
          <w:rFonts w:ascii="Palatino Linotype" w:hAnsi="Palatino Linotype"/>
          <w:i/>
          <w:iCs/>
          <w:noProof/>
          <w:sz w:val="22"/>
          <w:szCs w:val="24"/>
        </w:rPr>
        <w:t>: Jurnal Pendidikan Anak Usia Dini</w:t>
      </w:r>
      <w:r w:rsidRPr="004E229A">
        <w:rPr>
          <w:rFonts w:ascii="Palatino Linotype" w:hAnsi="Palatino Linotype"/>
          <w:noProof/>
          <w:sz w:val="22"/>
          <w:szCs w:val="24"/>
        </w:rPr>
        <w:t xml:space="preserve"> 4, no. 2 (2020): 715. https://doi.org/10.31004/obsesi.v4i2.438.</w:t>
      </w:r>
    </w:p>
    <w:p w14:paraId="3E14347B"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Faisal, Faisal, and Nursariani Simatupang. “Kebijakan Nonpenal Dalam Rangka Upaya Preventif Anak Sebagai Korban Kekerasan Fisik Dan Psikis Di Sekolah.” </w:t>
      </w:r>
      <w:r w:rsidRPr="004E229A">
        <w:rPr>
          <w:rFonts w:ascii="Palatino Linotype" w:hAnsi="Palatino Linotype"/>
          <w:i/>
          <w:iCs/>
          <w:noProof/>
          <w:sz w:val="22"/>
          <w:szCs w:val="24"/>
        </w:rPr>
        <w:t>Jurnal Ilmiah Kebijakan Hukum</w:t>
      </w:r>
      <w:r w:rsidRPr="004E229A">
        <w:rPr>
          <w:rFonts w:ascii="Palatino Linotype" w:hAnsi="Palatino Linotype"/>
          <w:noProof/>
          <w:sz w:val="22"/>
          <w:szCs w:val="24"/>
        </w:rPr>
        <w:t xml:space="preserve"> 15, no. 2 (2021): 287. https://doi.org/10.30641/kebijakan.2021.v15.287-304.</w:t>
      </w:r>
    </w:p>
    <w:p w14:paraId="282E35BE"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Habibie, Temy Andreas, and Qurotul Uyun. “Model Intervensi Islam </w:t>
      </w:r>
      <w:r w:rsidRPr="004E229A">
        <w:rPr>
          <w:rFonts w:ascii="Palatino Linotype" w:hAnsi="Palatino Linotype"/>
          <w:noProof/>
          <w:sz w:val="22"/>
          <w:szCs w:val="24"/>
        </w:rPr>
        <w:lastRenderedPageBreak/>
        <w:t xml:space="preserve">Dalam Penanganan Gejala Gangguan Stress Pasca Trauma Pada Orang Tua Yang Memiliki Anak Sebagai Korban Kekerasan Seksual.” </w:t>
      </w:r>
      <w:r w:rsidRPr="004E229A">
        <w:rPr>
          <w:rFonts w:ascii="Palatino Linotype" w:hAnsi="Palatino Linotype"/>
          <w:i/>
          <w:iCs/>
          <w:noProof/>
          <w:sz w:val="22"/>
          <w:szCs w:val="24"/>
        </w:rPr>
        <w:t>Journal of Islamic and Contemporary Psychology (JICOP)</w:t>
      </w:r>
      <w:r w:rsidRPr="004E229A">
        <w:rPr>
          <w:rFonts w:ascii="Palatino Linotype" w:hAnsi="Palatino Linotype"/>
          <w:noProof/>
          <w:sz w:val="22"/>
          <w:szCs w:val="24"/>
        </w:rPr>
        <w:t xml:space="preserve"> 3, no. 1s (2023): 221–30. https://doi.org/10.25299/jicop.v3i1s.12363.</w:t>
      </w:r>
    </w:p>
    <w:p w14:paraId="0FD07273"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Hadi, Abdul, Palasara Brahmani Laras, and Eka Aryani. “Peran Layanan Bimbingan Dan Konseling Islam Dalam Pendidikan Karakter.” </w:t>
      </w:r>
      <w:r w:rsidRPr="004E229A">
        <w:rPr>
          <w:rFonts w:ascii="Palatino Linotype" w:hAnsi="Palatino Linotype"/>
          <w:i/>
          <w:iCs/>
          <w:noProof/>
          <w:sz w:val="22"/>
          <w:szCs w:val="24"/>
        </w:rPr>
        <w:t>KoPeN: Konferensi Pendidikan Nasional</w:t>
      </w:r>
      <w:r w:rsidRPr="004E229A">
        <w:rPr>
          <w:rFonts w:ascii="Palatino Linotype" w:hAnsi="Palatino Linotype"/>
          <w:noProof/>
          <w:sz w:val="22"/>
          <w:szCs w:val="24"/>
        </w:rPr>
        <w:t xml:space="preserve"> 2, no. 1 (2020): 316–21.</w:t>
      </w:r>
    </w:p>
    <w:p w14:paraId="4AC350A3"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Haryati, Asti, Neti Herawati, Betaria Soneta, and Sukma Wardani. “Upaya Konselor Islami Dalam Penanganan Spiritualitas Pada Korban Trauma Kekerasan Dalam Rumah Tangga.” </w:t>
      </w:r>
      <w:r w:rsidRPr="004E229A">
        <w:rPr>
          <w:rFonts w:ascii="Palatino Linotype" w:hAnsi="Palatino Linotype"/>
          <w:i/>
          <w:iCs/>
          <w:noProof/>
          <w:sz w:val="22"/>
          <w:szCs w:val="24"/>
        </w:rPr>
        <w:t>Consilium</w:t>
      </w:r>
      <w:r w:rsidRPr="004E229A">
        <w:rPr>
          <w:i/>
          <w:iCs/>
          <w:noProof/>
          <w:sz w:val="22"/>
          <w:szCs w:val="24"/>
        </w:rPr>
        <w:t> </w:t>
      </w:r>
      <w:r w:rsidRPr="004E229A">
        <w:rPr>
          <w:rFonts w:ascii="Palatino Linotype" w:hAnsi="Palatino Linotype"/>
          <w:i/>
          <w:iCs/>
          <w:noProof/>
          <w:sz w:val="22"/>
          <w:szCs w:val="24"/>
        </w:rPr>
        <w:t>: Berkala Kajian Konseling Dan Ilmu Keagamaan</w:t>
      </w:r>
      <w:r w:rsidRPr="004E229A">
        <w:rPr>
          <w:rFonts w:ascii="Palatino Linotype" w:hAnsi="Palatino Linotype"/>
          <w:noProof/>
          <w:sz w:val="22"/>
          <w:szCs w:val="24"/>
        </w:rPr>
        <w:t xml:space="preserve"> 9, no. 1 (2022): 1. https://doi.org/10.37064/consilium.v9i1.9579.</w:t>
      </w:r>
    </w:p>
    <w:p w14:paraId="41F95328"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Hidayati, Chusnul, and Ira Suryani. “Upaya Pencegahan Perilaku Antisosial Dalam Perspektif Pendidikan Islam Melalui Layanan Bimbingan Kelompok Di MTS Al Washliyah Medan Krio.” </w:t>
      </w:r>
      <w:r w:rsidRPr="004E229A">
        <w:rPr>
          <w:rFonts w:ascii="Palatino Linotype" w:hAnsi="Palatino Linotype"/>
          <w:i/>
          <w:iCs/>
          <w:noProof/>
          <w:sz w:val="22"/>
          <w:szCs w:val="24"/>
        </w:rPr>
        <w:t>Cetta: Jurnal Ilmu Pendidikan</w:t>
      </w:r>
      <w:r w:rsidRPr="004E229A">
        <w:rPr>
          <w:rFonts w:ascii="Palatino Linotype" w:hAnsi="Palatino Linotype"/>
          <w:noProof/>
          <w:sz w:val="22"/>
          <w:szCs w:val="24"/>
        </w:rPr>
        <w:t xml:space="preserve"> 6, no. 2 (2023): 359–70. https://doi.org/10.37329/cetta.v6i2.2508.</w:t>
      </w:r>
    </w:p>
    <w:p w14:paraId="14F80C7C"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Intaniasari, Yossinta, and Ratnasari Dyah Utami. “Menumbuhkan Budaya Membaca Siswa Melalui Literasi Digital Dalam Pembelajaran Dan Program Literasi Sekolah.” </w:t>
      </w:r>
      <w:r w:rsidRPr="004E229A">
        <w:rPr>
          <w:rFonts w:ascii="Palatino Linotype" w:hAnsi="Palatino Linotype"/>
          <w:i/>
          <w:iCs/>
          <w:noProof/>
          <w:sz w:val="22"/>
          <w:szCs w:val="24"/>
        </w:rPr>
        <w:t>Jurnal Basicedu</w:t>
      </w:r>
      <w:r w:rsidRPr="004E229A">
        <w:rPr>
          <w:rFonts w:ascii="Palatino Linotype" w:hAnsi="Palatino Linotype"/>
          <w:noProof/>
          <w:sz w:val="22"/>
          <w:szCs w:val="24"/>
        </w:rPr>
        <w:t xml:space="preserve"> 6, no. 3 (2022): 4987–98. https://doi.org/10.31004/basicedu.v6i3.2996.</w:t>
      </w:r>
    </w:p>
    <w:p w14:paraId="0B03BA8E"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Karunia. “INTERVENSI TIM RPTC DALAM PENANGANAN KRISIS PADA WANITA KORBAN KEKERASAN SEKSUAL (STUDY KASUS DI (RPTC) RUMAH PERLINDUNGAN TRAUMA CENTER BPRSW YOGYAKARTA)” 4, no. June (2016): 2016.</w:t>
      </w:r>
    </w:p>
    <w:p w14:paraId="29189455"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Khoiroh, Anikmatul. “Bimbingan Dan Konseling Keagamaan Bagi Wanita Korban Kekerasan Seksual.” </w:t>
      </w:r>
      <w:r w:rsidRPr="004E229A">
        <w:rPr>
          <w:rFonts w:ascii="Palatino Linotype" w:hAnsi="Palatino Linotype"/>
          <w:i/>
          <w:iCs/>
          <w:noProof/>
          <w:sz w:val="22"/>
          <w:szCs w:val="24"/>
        </w:rPr>
        <w:t>Dakwatuna: Jurnal Dakwah Dan Komunikasi Islam</w:t>
      </w:r>
      <w:r w:rsidRPr="004E229A">
        <w:rPr>
          <w:rFonts w:ascii="Palatino Linotype" w:hAnsi="Palatino Linotype"/>
          <w:noProof/>
          <w:sz w:val="22"/>
          <w:szCs w:val="24"/>
        </w:rPr>
        <w:t xml:space="preserve"> 7, no. 1 (2021): 116. https://doi.org/10.54471/dakwatuna.v7i1.925.</w:t>
      </w:r>
    </w:p>
    <w:p w14:paraId="2EFF43F1"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Kurniawati, Rahmaditta, and Nurus Sa’adah. “Konseling Lintas Budaya: Sebagai Upaya Preventif Pernikahan Dini.” </w:t>
      </w:r>
      <w:r w:rsidRPr="004E229A">
        <w:rPr>
          <w:rFonts w:ascii="Palatino Linotype" w:hAnsi="Palatino Linotype"/>
          <w:i/>
          <w:iCs/>
          <w:noProof/>
          <w:sz w:val="22"/>
          <w:szCs w:val="24"/>
        </w:rPr>
        <w:t>Islamic Counseling</w:t>
      </w:r>
      <w:r w:rsidRPr="004E229A">
        <w:rPr>
          <w:i/>
          <w:iCs/>
          <w:noProof/>
          <w:sz w:val="22"/>
          <w:szCs w:val="24"/>
        </w:rPr>
        <w:t> </w:t>
      </w:r>
      <w:r w:rsidRPr="004E229A">
        <w:rPr>
          <w:rFonts w:ascii="Palatino Linotype" w:hAnsi="Palatino Linotype"/>
          <w:i/>
          <w:iCs/>
          <w:noProof/>
          <w:sz w:val="22"/>
          <w:szCs w:val="24"/>
        </w:rPr>
        <w:t>: Jurnal Bimbingan Konseling Islam</w:t>
      </w:r>
      <w:r w:rsidRPr="004E229A">
        <w:rPr>
          <w:rFonts w:ascii="Palatino Linotype" w:hAnsi="Palatino Linotype"/>
          <w:noProof/>
          <w:sz w:val="22"/>
          <w:szCs w:val="24"/>
        </w:rPr>
        <w:t xml:space="preserve"> 6, no. 1 (2022): 51. https://doi.org/10.29240/jbk.v6i1.3418.</w:t>
      </w:r>
    </w:p>
    <w:p w14:paraId="11DE3DD5"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lastRenderedPageBreak/>
        <w:t xml:space="preserve">Labiq, Ahmad, and Siti Hulaiyah. “Pentingnya Dukungan Keluarga Dalam Meningkatkan Kesehatan Mental Mahasiswa Prodi Bimbingan Penyuluhan Islam.” </w:t>
      </w:r>
      <w:r w:rsidRPr="004E229A">
        <w:rPr>
          <w:rFonts w:ascii="Palatino Linotype" w:hAnsi="Palatino Linotype"/>
          <w:i/>
          <w:iCs/>
          <w:noProof/>
          <w:sz w:val="22"/>
          <w:szCs w:val="24"/>
        </w:rPr>
        <w:t>Observasi</w:t>
      </w:r>
      <w:r w:rsidRPr="004E229A">
        <w:rPr>
          <w:i/>
          <w:iCs/>
          <w:noProof/>
          <w:sz w:val="22"/>
          <w:szCs w:val="24"/>
        </w:rPr>
        <w:t> </w:t>
      </w:r>
      <w:r w:rsidRPr="004E229A">
        <w:rPr>
          <w:rFonts w:ascii="Palatino Linotype" w:hAnsi="Palatino Linotype"/>
          <w:i/>
          <w:iCs/>
          <w:noProof/>
          <w:sz w:val="22"/>
          <w:szCs w:val="24"/>
        </w:rPr>
        <w:t>: Jurnal Publikasi Ilmu Psikologi</w:t>
      </w:r>
      <w:r w:rsidRPr="004E229A">
        <w:rPr>
          <w:rFonts w:ascii="Palatino Linotype" w:hAnsi="Palatino Linotype"/>
          <w:noProof/>
          <w:sz w:val="22"/>
          <w:szCs w:val="24"/>
        </w:rPr>
        <w:t xml:space="preserve"> 2, no. 1 (2024): 20–27.</w:t>
      </w:r>
    </w:p>
    <w:p w14:paraId="15F6E095"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Mala, U. “Peranan Bimbingan Penyuluhan Islam Terhadap Pembinaan Akhlak Remaja Kel. Benteng Kec. Patampanua Kab. Pinrang.” </w:t>
      </w:r>
      <w:r w:rsidRPr="004E229A">
        <w:rPr>
          <w:rFonts w:ascii="Palatino Linotype" w:hAnsi="Palatino Linotype"/>
          <w:i/>
          <w:iCs/>
          <w:noProof/>
          <w:sz w:val="22"/>
          <w:szCs w:val="24"/>
        </w:rPr>
        <w:t>Al-Mau’izhah: Jurnal Bimbingan Dan Penyuluhan …</w:t>
      </w:r>
      <w:r w:rsidRPr="004E229A">
        <w:rPr>
          <w:rFonts w:ascii="Palatino Linotype" w:hAnsi="Palatino Linotype"/>
          <w:noProof/>
          <w:sz w:val="22"/>
          <w:szCs w:val="24"/>
        </w:rPr>
        <w:t xml:space="preserve"> 4, no. 2 (2022). https://www.jurnal.umpar.ac.id/index.php/mauizhah/article/view/2220.</w:t>
      </w:r>
    </w:p>
    <w:p w14:paraId="3B12838E"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Marfu’ah, Usfiyatul, Siti Rofi’ah, and Maksun Maksun. “Sistem Pencegahan Dan Penanganan Kekerasan Seksual Di Kampus Uin Walisongo Semarang.” </w:t>
      </w:r>
      <w:r w:rsidRPr="004E229A">
        <w:rPr>
          <w:rFonts w:ascii="Palatino Linotype" w:hAnsi="Palatino Linotype"/>
          <w:i/>
          <w:iCs/>
          <w:noProof/>
          <w:sz w:val="22"/>
          <w:szCs w:val="24"/>
        </w:rPr>
        <w:t>Kafa`ah: Journal of Gender Studies</w:t>
      </w:r>
      <w:r w:rsidRPr="004E229A">
        <w:rPr>
          <w:rFonts w:ascii="Palatino Linotype" w:hAnsi="Palatino Linotype"/>
          <w:noProof/>
          <w:sz w:val="22"/>
          <w:szCs w:val="24"/>
        </w:rPr>
        <w:t xml:space="preserve"> 11, no. 1 (2021): 95. https://doi.org/10.15548/jk.v11i1.379.</w:t>
      </w:r>
    </w:p>
    <w:p w14:paraId="504DA6BE"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Marlia, Ani, Nur Ainun Fadhilah, Monica Pertiwi, Muhammad Hasan Yusuf, Nova Suci Wulandari, Sella Mustika Sari, Muhammad Randi Pratama S, and Safitri Ani. “Peran Bimbingan Konseling Dan Pendidikan Agama Islam (Pai)</w:t>
      </w:r>
      <w:r w:rsidRPr="004E229A">
        <w:rPr>
          <w:noProof/>
          <w:sz w:val="22"/>
          <w:szCs w:val="24"/>
        </w:rPr>
        <w:t> </w:t>
      </w:r>
      <w:r w:rsidRPr="004E229A">
        <w:rPr>
          <w:rFonts w:ascii="Palatino Linotype" w:hAnsi="Palatino Linotype"/>
          <w:noProof/>
          <w:sz w:val="22"/>
          <w:szCs w:val="24"/>
        </w:rPr>
        <w:t xml:space="preserve">: Penerapan Dan Solusi Di Man 2 Palembang.” </w:t>
      </w:r>
      <w:r w:rsidRPr="004E229A">
        <w:rPr>
          <w:rFonts w:ascii="Palatino Linotype" w:hAnsi="Palatino Linotype"/>
          <w:i/>
          <w:iCs/>
          <w:noProof/>
          <w:sz w:val="22"/>
          <w:szCs w:val="24"/>
        </w:rPr>
        <w:t>SIGNIFICANT</w:t>
      </w:r>
      <w:r w:rsidRPr="004E229A">
        <w:rPr>
          <w:i/>
          <w:iCs/>
          <w:noProof/>
          <w:sz w:val="22"/>
          <w:szCs w:val="24"/>
        </w:rPr>
        <w:t> </w:t>
      </w:r>
      <w:r w:rsidRPr="004E229A">
        <w:rPr>
          <w:rFonts w:ascii="Palatino Linotype" w:hAnsi="Palatino Linotype"/>
          <w:i/>
          <w:iCs/>
          <w:noProof/>
          <w:sz w:val="22"/>
          <w:szCs w:val="24"/>
        </w:rPr>
        <w:t>: Journal Of Research And Multidisciplinary</w:t>
      </w:r>
      <w:r w:rsidRPr="004E229A">
        <w:rPr>
          <w:rFonts w:ascii="Palatino Linotype" w:hAnsi="Palatino Linotype"/>
          <w:noProof/>
          <w:sz w:val="22"/>
          <w:szCs w:val="24"/>
        </w:rPr>
        <w:t xml:space="preserve"> 2, no. 02 (2023): 312–21. https://doi.org/10.62668/significant.v2i02.921.</w:t>
      </w:r>
    </w:p>
    <w:p w14:paraId="4E029DCA"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Muh. Ilham, Nurwalidah Noviyanti. “Layanan Bimbingan Konseling Islam Dalam Pemulihan Mental Bagi Anak Korban Kekerasan Pusat Pelayanan Terpadu Pemberdayaan Dan Anak Kabupaten Gowa.” </w:t>
      </w:r>
      <w:r w:rsidRPr="004E229A">
        <w:rPr>
          <w:rFonts w:ascii="Palatino Linotype" w:hAnsi="Palatino Linotype"/>
          <w:i/>
          <w:iCs/>
          <w:noProof/>
          <w:sz w:val="22"/>
          <w:szCs w:val="24"/>
        </w:rPr>
        <w:t>Jurnal Mimbar Kesejahteraan Sosial</w:t>
      </w:r>
      <w:r w:rsidRPr="004E229A">
        <w:rPr>
          <w:rFonts w:ascii="Palatino Linotype" w:hAnsi="Palatino Linotype"/>
          <w:noProof/>
          <w:sz w:val="22"/>
          <w:szCs w:val="24"/>
        </w:rPr>
        <w:t xml:space="preserve"> 3 (2020): 2655–7320.</w:t>
      </w:r>
    </w:p>
    <w:p w14:paraId="556C3542"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Nissa, Amalia Kholiafatul, Abdul Majid, and Siti Lailiyah. “Konsep Self Efficacy Pada Karakter Remaja Dalam Pendidikan Agama Islam.” </w:t>
      </w:r>
      <w:r w:rsidRPr="004E229A">
        <w:rPr>
          <w:rFonts w:ascii="Palatino Linotype" w:hAnsi="Palatino Linotype"/>
          <w:i/>
          <w:iCs/>
          <w:noProof/>
          <w:sz w:val="22"/>
          <w:szCs w:val="24"/>
        </w:rPr>
        <w:t>Jurnal Basicedu</w:t>
      </w:r>
      <w:r w:rsidRPr="004E229A">
        <w:rPr>
          <w:rFonts w:ascii="Palatino Linotype" w:hAnsi="Palatino Linotype"/>
          <w:noProof/>
          <w:sz w:val="22"/>
          <w:szCs w:val="24"/>
        </w:rPr>
        <w:t xml:space="preserve"> 6, no. 4 (2022): 7526–31. https://doi.org/10.31004/basicedu.v6i4.3552.</w:t>
      </w:r>
    </w:p>
    <w:p w14:paraId="33440DE1"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Nur ’izi, Arilana, and Mahasri Shobabiya. “Penerapan Bimbingan Konseling Islami Di Sekolah Strategi Dan Implementasinya Di Era Digital.” </w:t>
      </w:r>
      <w:r w:rsidRPr="004E229A">
        <w:rPr>
          <w:rFonts w:ascii="Palatino Linotype" w:hAnsi="Palatino Linotype"/>
          <w:i/>
          <w:iCs/>
          <w:noProof/>
          <w:sz w:val="22"/>
          <w:szCs w:val="24"/>
        </w:rPr>
        <w:t>IJM: Indonesian Journal of Multidisciplinary</w:t>
      </w:r>
      <w:r w:rsidRPr="004E229A">
        <w:rPr>
          <w:rFonts w:ascii="Palatino Linotype" w:hAnsi="Palatino Linotype"/>
          <w:noProof/>
          <w:sz w:val="22"/>
          <w:szCs w:val="24"/>
        </w:rPr>
        <w:t xml:space="preserve"> 2, no. 1 (2024): 1–8. https://journal.csspublishing/index.php/ijm.</w:t>
      </w:r>
    </w:p>
    <w:p w14:paraId="54D52F9A"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Nur, Muhammad, Yasriuddin Yasriuddin, and Nor Azijah. “Identifikasi Perilaku Bullying Di Sekolah (Sebuah Upaya </w:t>
      </w:r>
      <w:r w:rsidRPr="004E229A">
        <w:rPr>
          <w:rFonts w:ascii="Palatino Linotype" w:hAnsi="Palatino Linotype"/>
          <w:noProof/>
          <w:sz w:val="22"/>
          <w:szCs w:val="24"/>
        </w:rPr>
        <w:lastRenderedPageBreak/>
        <w:t xml:space="preserve">Preventif).” </w:t>
      </w:r>
      <w:r w:rsidRPr="004E229A">
        <w:rPr>
          <w:rFonts w:ascii="Palatino Linotype" w:hAnsi="Palatino Linotype"/>
          <w:i/>
          <w:iCs/>
          <w:noProof/>
          <w:sz w:val="22"/>
          <w:szCs w:val="24"/>
        </w:rPr>
        <w:t>Al-Madrasah: Jurnal Pendidikan Madrasah Ibtidaiyah</w:t>
      </w:r>
      <w:r w:rsidRPr="004E229A">
        <w:rPr>
          <w:rFonts w:ascii="Palatino Linotype" w:hAnsi="Palatino Linotype"/>
          <w:noProof/>
          <w:sz w:val="22"/>
          <w:szCs w:val="24"/>
        </w:rPr>
        <w:t xml:space="preserve"> 6, no. 3 (2022): 685. https://doi.org/10.35931/am.v6i3.1054.</w:t>
      </w:r>
    </w:p>
    <w:p w14:paraId="11900FFF"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Prihambodo, Calvin Zannua, Zainul Anwar, Devina Andriany, and Fakultas Psikologi. “Peran Regulasi Diri Terhadap Perilaku Cyberbullying (The Role Of Self Regulation Of Cyberbullying Behavior).” </w:t>
      </w:r>
      <w:r w:rsidRPr="004E229A">
        <w:rPr>
          <w:rFonts w:ascii="Palatino Linotype" w:hAnsi="Palatino Linotype"/>
          <w:i/>
          <w:iCs/>
          <w:noProof/>
          <w:sz w:val="22"/>
          <w:szCs w:val="24"/>
        </w:rPr>
        <w:t>Psycho Holistic</w:t>
      </w:r>
      <w:r w:rsidRPr="004E229A">
        <w:rPr>
          <w:rFonts w:ascii="Palatino Linotype" w:hAnsi="Palatino Linotype"/>
          <w:noProof/>
          <w:sz w:val="22"/>
          <w:szCs w:val="24"/>
        </w:rPr>
        <w:t xml:space="preserve"> 2, no. 1 (2020): 2020–2685. http://journal.umbjm.ac.id/index.php/psychoholistic.</w:t>
      </w:r>
    </w:p>
    <w:p w14:paraId="5EC27670"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PUTRI, ANGGI PRATAMA. “Pelaksanaan Bimbingan Konseling Islam Terhadap Anak Korban Kekerasan Psikis Di Balai Rehabilitasi Sosial Anak Memerlukan Perlindungan Khusus (Brsampk) Rumbai,” no. 4596 (2021): 1–78.</w:t>
      </w:r>
    </w:p>
    <w:p w14:paraId="6546877E"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R. Septianingsih, D. Safitri, S.Sujarwo. “Pendidikan Seksual Pada Remaja Berbasis Budaya Sebagai Tindakan Preventif Kekerasan Seksual.” </w:t>
      </w:r>
      <w:r w:rsidRPr="004E229A">
        <w:rPr>
          <w:rFonts w:ascii="Palatino Linotype" w:hAnsi="Palatino Linotype"/>
          <w:i/>
          <w:iCs/>
          <w:noProof/>
          <w:sz w:val="22"/>
          <w:szCs w:val="24"/>
        </w:rPr>
        <w:t>Cendekia Pendidikan</w:t>
      </w:r>
      <w:r w:rsidRPr="004E229A">
        <w:rPr>
          <w:rFonts w:ascii="Palatino Linotype" w:hAnsi="Palatino Linotype"/>
          <w:noProof/>
          <w:sz w:val="22"/>
          <w:szCs w:val="24"/>
        </w:rPr>
        <w:t xml:space="preserve"> 1, no. 1 (2023): 1–13. https://ejournal.warunayama.org/index.php/sindorocendikiapendidikan/article/view/769.</w:t>
      </w:r>
    </w:p>
    <w:p w14:paraId="5DC8E0B0"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Rika Widianita, Dkk. “BIMBINGAN KONSELING ISLAM DALAM MENCEGAH PERGAULAN BEBAS PADA REMAJA DI DESA KALEO KECAMATAN LAMBU KABUPATEN BIMA.” </w:t>
      </w:r>
      <w:r w:rsidRPr="004E229A">
        <w:rPr>
          <w:rFonts w:ascii="Palatino Linotype" w:hAnsi="Palatino Linotype"/>
          <w:i/>
          <w:iCs/>
          <w:noProof/>
          <w:sz w:val="22"/>
          <w:szCs w:val="24"/>
        </w:rPr>
        <w:t>AT-TAWASSUTH: Jurnal Ekonomi Islam</w:t>
      </w:r>
      <w:r w:rsidRPr="004E229A">
        <w:rPr>
          <w:rFonts w:ascii="Palatino Linotype" w:hAnsi="Palatino Linotype"/>
          <w:noProof/>
          <w:sz w:val="22"/>
          <w:szCs w:val="24"/>
        </w:rPr>
        <w:t xml:space="preserve"> VIII, no. I (2023): 1–19.</w:t>
      </w:r>
    </w:p>
    <w:p w14:paraId="7E6099B3"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 “UPAYA GURU BIMBINGAN KONSELING DALAM MENGATASI KENAKALAN REMAJA PADA PESERTA DIDIK MADRASAH ALIYAH NEGERI (MAN) 2 KOTA PAREPARE.” </w:t>
      </w:r>
      <w:r w:rsidRPr="004E229A">
        <w:rPr>
          <w:rFonts w:ascii="Palatino Linotype" w:hAnsi="Palatino Linotype"/>
          <w:i/>
          <w:iCs/>
          <w:noProof/>
          <w:sz w:val="22"/>
          <w:szCs w:val="24"/>
        </w:rPr>
        <w:t>AT-TAWASSUTH: Jurnal Ekonomi Islam</w:t>
      </w:r>
      <w:r w:rsidRPr="004E229A">
        <w:rPr>
          <w:rFonts w:ascii="Palatino Linotype" w:hAnsi="Palatino Linotype"/>
          <w:noProof/>
          <w:sz w:val="22"/>
          <w:szCs w:val="24"/>
        </w:rPr>
        <w:t xml:space="preserve"> VIII, no. I (2023): 1–19.</w:t>
      </w:r>
    </w:p>
    <w:p w14:paraId="5AF55918"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Sakban, Abdul, Maemunah Maemunah, and Hafsah Hafsah. “Pelatihan Pencegahan Bullying Bagi Organisasi Kemahasiswaan Di Universitas Muhammadiyah Mataram.” </w:t>
      </w:r>
      <w:r w:rsidRPr="004E229A">
        <w:rPr>
          <w:rFonts w:ascii="Palatino Linotype" w:hAnsi="Palatino Linotype"/>
          <w:i/>
          <w:iCs/>
          <w:noProof/>
          <w:sz w:val="22"/>
          <w:szCs w:val="24"/>
        </w:rPr>
        <w:t>Jurnal Pengabdian UNDIKMA</w:t>
      </w:r>
      <w:r w:rsidRPr="004E229A">
        <w:rPr>
          <w:rFonts w:ascii="Palatino Linotype" w:hAnsi="Palatino Linotype"/>
          <w:noProof/>
          <w:sz w:val="22"/>
          <w:szCs w:val="24"/>
        </w:rPr>
        <w:t xml:space="preserve"> 2, no. 2 (2021): 211. https://doi.org/10.33394/jpu.v2i2.3893.</w:t>
      </w:r>
    </w:p>
    <w:p w14:paraId="1167CB4F"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Salau, Triati, Glorius Deonatus Keo, Benediktus Labre, and Deslien Dolorosa Fanggitasik. “Pelatihan Asertif Bagi Remaja: Upaya Preventif Tindakan Kekerasan Di Sekolah.” </w:t>
      </w:r>
      <w:r w:rsidRPr="004E229A">
        <w:rPr>
          <w:rFonts w:ascii="Palatino Linotype" w:hAnsi="Palatino Linotype"/>
          <w:i/>
          <w:iCs/>
          <w:noProof/>
          <w:sz w:val="22"/>
          <w:szCs w:val="24"/>
        </w:rPr>
        <w:t>Warta LPM</w:t>
      </w:r>
      <w:r w:rsidRPr="004E229A">
        <w:rPr>
          <w:rFonts w:ascii="Palatino Linotype" w:hAnsi="Palatino Linotype"/>
          <w:noProof/>
          <w:sz w:val="22"/>
          <w:szCs w:val="24"/>
        </w:rPr>
        <w:t xml:space="preserve"> 26, no. 4 (2023): 453–61. https://doi.org/10.23917/warta.v26i4.2455.</w:t>
      </w:r>
    </w:p>
    <w:p w14:paraId="55EF4427"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lastRenderedPageBreak/>
        <w:t xml:space="preserve">Salsabila, Suci, and Viola Junia Vitaloka. “Peran Bimbingan Dan Konseling Islam Dalam Meningkatkan Moral Remaja.” </w:t>
      </w:r>
      <w:r w:rsidRPr="004E229A">
        <w:rPr>
          <w:rFonts w:ascii="Palatino Linotype" w:hAnsi="Palatino Linotype"/>
          <w:i/>
          <w:iCs/>
          <w:noProof/>
          <w:sz w:val="22"/>
          <w:szCs w:val="24"/>
        </w:rPr>
        <w:t>DAWUH</w:t>
      </w:r>
      <w:r w:rsidRPr="004E229A">
        <w:rPr>
          <w:i/>
          <w:iCs/>
          <w:noProof/>
          <w:sz w:val="22"/>
          <w:szCs w:val="24"/>
        </w:rPr>
        <w:t> </w:t>
      </w:r>
      <w:r w:rsidRPr="004E229A">
        <w:rPr>
          <w:rFonts w:ascii="Palatino Linotype" w:hAnsi="Palatino Linotype"/>
          <w:i/>
          <w:iCs/>
          <w:noProof/>
          <w:sz w:val="22"/>
          <w:szCs w:val="24"/>
        </w:rPr>
        <w:t>: Islamic Communication Journal</w:t>
      </w:r>
      <w:r w:rsidRPr="004E229A">
        <w:rPr>
          <w:rFonts w:ascii="Palatino Linotype" w:hAnsi="Palatino Linotype"/>
          <w:noProof/>
          <w:sz w:val="22"/>
          <w:szCs w:val="24"/>
        </w:rPr>
        <w:t xml:space="preserve"> 4, no. 3 (2023): 138–43. https://doi.org/10.62159/dawuh.v4i3.1206.</w:t>
      </w:r>
    </w:p>
    <w:p w14:paraId="57167DAF"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szCs w:val="24"/>
        </w:rPr>
      </w:pPr>
      <w:r w:rsidRPr="004E229A">
        <w:rPr>
          <w:rFonts w:ascii="Palatino Linotype" w:hAnsi="Palatino Linotype"/>
          <w:noProof/>
          <w:sz w:val="22"/>
          <w:szCs w:val="24"/>
        </w:rPr>
        <w:t xml:space="preserve">Ulum, Mokhamad Miptakhul. “Sirkulasi Sosiologis Dan Psikologis Dalam Fenomena Bullying Di Pesantren.” </w:t>
      </w:r>
      <w:r w:rsidRPr="004E229A">
        <w:rPr>
          <w:rFonts w:ascii="Palatino Linotype" w:hAnsi="Palatino Linotype"/>
          <w:i/>
          <w:iCs/>
          <w:noProof/>
          <w:sz w:val="22"/>
          <w:szCs w:val="24"/>
        </w:rPr>
        <w:t>Islamic Review: Jurnal Riset Dan Kajian Keislaman</w:t>
      </w:r>
      <w:r w:rsidRPr="004E229A">
        <w:rPr>
          <w:rFonts w:ascii="Palatino Linotype" w:hAnsi="Palatino Linotype"/>
          <w:noProof/>
          <w:sz w:val="22"/>
          <w:szCs w:val="24"/>
        </w:rPr>
        <w:t xml:space="preserve"> 10, no. 2 (2021): 191–204. https://doi.org/10.35878/islamicreview.v10i2.285.</w:t>
      </w:r>
    </w:p>
    <w:p w14:paraId="14E08389" w14:textId="77777777" w:rsidR="004E229A" w:rsidRPr="004E229A" w:rsidRDefault="004E229A" w:rsidP="008A7131">
      <w:pPr>
        <w:widowControl w:val="0"/>
        <w:autoSpaceDE w:val="0"/>
        <w:autoSpaceDN w:val="0"/>
        <w:adjustRightInd w:val="0"/>
        <w:spacing w:after="120"/>
        <w:ind w:left="480" w:hanging="480"/>
        <w:jc w:val="both"/>
        <w:rPr>
          <w:rFonts w:ascii="Palatino Linotype" w:hAnsi="Palatino Linotype"/>
          <w:noProof/>
          <w:sz w:val="22"/>
        </w:rPr>
      </w:pPr>
      <w:r w:rsidRPr="004E229A">
        <w:rPr>
          <w:rFonts w:ascii="Palatino Linotype" w:hAnsi="Palatino Linotype"/>
          <w:noProof/>
          <w:sz w:val="22"/>
          <w:szCs w:val="24"/>
        </w:rPr>
        <w:t xml:space="preserve">Yudhawasthi, Ciwuk Musiana, Moh Rifaldi Akbar, Anita Dwi Lestari, Dinda Nabawiyah, Helena Faustina, Universitas Bhayangkara, and Jakarta Raya. “Analisis Pengetahuan Dosen Dan Mahasiswa Universitas Bhayangkara Jakarta Raya Tentang Pencegahan Dan Penanganan Kekerasan Seksual.” </w:t>
      </w:r>
      <w:r w:rsidRPr="004E229A">
        <w:rPr>
          <w:rFonts w:ascii="Palatino Linotype" w:hAnsi="Palatino Linotype"/>
          <w:i/>
          <w:iCs/>
          <w:noProof/>
          <w:sz w:val="22"/>
          <w:szCs w:val="24"/>
        </w:rPr>
        <w:t>Pusat Studi Gender Dan Anak UIN Alauddin Makassar Sipakalebbi</w:t>
      </w:r>
      <w:r w:rsidRPr="004E229A">
        <w:rPr>
          <w:rFonts w:ascii="Palatino Linotype" w:hAnsi="Palatino Linotype"/>
          <w:noProof/>
          <w:sz w:val="22"/>
          <w:szCs w:val="24"/>
        </w:rPr>
        <w:t xml:space="preserve"> 7, no. 2 (2023).</w:t>
      </w:r>
    </w:p>
    <w:p w14:paraId="0EED06DA" w14:textId="00CA51BA" w:rsidR="00F1649D" w:rsidRDefault="00F1649D" w:rsidP="008A7131">
      <w:pPr>
        <w:widowControl w:val="0"/>
        <w:autoSpaceDE w:val="0"/>
        <w:autoSpaceDN w:val="0"/>
        <w:adjustRightInd w:val="0"/>
        <w:spacing w:after="120"/>
        <w:ind w:left="480" w:hanging="480"/>
        <w:jc w:val="both"/>
        <w:rPr>
          <w:rFonts w:ascii="Palatino Linotype" w:hAnsi="Palatino Linotype" w:cs="Arial"/>
          <w:sz w:val="22"/>
          <w:szCs w:val="22"/>
          <w:lang w:val="id-ID"/>
        </w:rPr>
      </w:pPr>
      <w:r>
        <w:rPr>
          <w:rFonts w:ascii="Palatino Linotype" w:hAnsi="Palatino Linotype" w:cs="Arial"/>
          <w:sz w:val="22"/>
          <w:szCs w:val="22"/>
          <w:lang w:val="id-ID"/>
        </w:rPr>
        <w:fldChar w:fldCharType="end"/>
      </w:r>
    </w:p>
    <w:p w14:paraId="0E1BF230" w14:textId="6126C279" w:rsidR="00CC6F7D" w:rsidRPr="00F1649D" w:rsidRDefault="00F1649D" w:rsidP="008A7131">
      <w:pPr>
        <w:tabs>
          <w:tab w:val="left" w:pos="4963"/>
        </w:tabs>
        <w:jc w:val="both"/>
        <w:rPr>
          <w:rFonts w:ascii="Palatino Linotype" w:hAnsi="Palatino Linotype" w:cs="Arial"/>
          <w:sz w:val="22"/>
          <w:szCs w:val="22"/>
          <w:lang w:val="id-ID"/>
        </w:rPr>
      </w:pPr>
      <w:r>
        <w:rPr>
          <w:rFonts w:ascii="Palatino Linotype" w:hAnsi="Palatino Linotype" w:cs="Arial"/>
          <w:sz w:val="22"/>
          <w:szCs w:val="22"/>
          <w:lang w:val="id-ID"/>
        </w:rPr>
        <w:tab/>
      </w:r>
    </w:p>
    <w:sectPr w:rsidR="00CC6F7D" w:rsidRPr="00F1649D" w:rsidSect="0087607F">
      <w:headerReference w:type="even" r:id="rId11"/>
      <w:headerReference w:type="default" r:id="rId12"/>
      <w:footerReference w:type="even" r:id="rId13"/>
      <w:footerReference w:type="default" r:id="rId14"/>
      <w:headerReference w:type="first" r:id="rId15"/>
      <w:footerReference w:type="first" r:id="rId16"/>
      <w:type w:val="continuous"/>
      <w:pgSz w:w="10318" w:h="14570" w:code="13"/>
      <w:pgMar w:top="1701" w:right="1701" w:bottom="1701" w:left="1701" w:header="142" w:footer="868" w:gutter="0"/>
      <w:pgNumType w:start="104"/>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5BEA0" w14:textId="77777777" w:rsidR="00EE15A3" w:rsidRDefault="00EE15A3" w:rsidP="00724837">
      <w:r>
        <w:separator/>
      </w:r>
    </w:p>
  </w:endnote>
  <w:endnote w:type="continuationSeparator" w:id="0">
    <w:p w14:paraId="0E086A34" w14:textId="77777777" w:rsidR="00EE15A3" w:rsidRDefault="00EE15A3" w:rsidP="0072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charset w:val="00"/>
    <w:family w:val="roman"/>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4FB2C" w14:textId="68A1AF7C" w:rsidR="00A92026" w:rsidRDefault="00C40F5F" w:rsidP="00A92026">
    <w:pPr>
      <w:pStyle w:val="Footer"/>
      <w:rPr>
        <w:rFonts w:ascii="Century" w:hAnsi="Century" w:cs="Tahoma"/>
        <w:b/>
        <w:bCs/>
      </w:rPr>
    </w:pPr>
    <w:r>
      <w:rPr>
        <w:noProof/>
      </w:rPr>
      <w:drawing>
        <wp:anchor distT="0" distB="0" distL="114300" distR="114300" simplePos="0" relativeHeight="251678720" behindDoc="1" locked="0" layoutInCell="1" allowOverlap="1" wp14:anchorId="63701486" wp14:editId="01861A6D">
          <wp:simplePos x="0" y="0"/>
          <wp:positionH relativeFrom="column">
            <wp:posOffset>-1036320</wp:posOffset>
          </wp:positionH>
          <wp:positionV relativeFrom="paragraph">
            <wp:posOffset>181610</wp:posOffset>
          </wp:positionV>
          <wp:extent cx="5520690" cy="780415"/>
          <wp:effectExtent l="0" t="0" r="0" b="63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520690" cy="780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2026" w:rsidRPr="005501E6">
      <w:rPr>
        <w:rFonts w:ascii="Century" w:hAnsi="Century" w:cs="Tahoma"/>
        <w:b/>
        <w:bCs/>
      </w:rPr>
      <w:t>Jurnal La Tenriruwa</w:t>
    </w:r>
    <w:r w:rsidR="00A92026">
      <w:rPr>
        <w:rFonts w:ascii="Century" w:hAnsi="Century" w:cs="Tahoma"/>
        <w:b/>
        <w:bCs/>
      </w:rPr>
      <w:t xml:space="preserve"> </w:t>
    </w:r>
  </w:p>
  <w:p w14:paraId="0304C684" w14:textId="53A3D87F" w:rsidR="00A92026" w:rsidRPr="008E394E" w:rsidRDefault="000532EA" w:rsidP="00A92026">
    <w:pPr>
      <w:pStyle w:val="Footer"/>
      <w:rPr>
        <w:rFonts w:ascii="Century" w:hAnsi="Century" w:cs="Tahoma"/>
        <w:b/>
        <w:bCs/>
        <w:lang w:val="id-ID"/>
      </w:rPr>
    </w:pPr>
    <w:r>
      <w:rPr>
        <w:rFonts w:ascii="Century" w:hAnsi="Century" w:cs="Tahoma"/>
        <w:b/>
        <w:bCs/>
      </w:rPr>
      <w:t>Vol</w:t>
    </w:r>
    <w:proofErr w:type="gramStart"/>
    <w:r>
      <w:rPr>
        <w:rFonts w:ascii="Century" w:hAnsi="Century" w:cs="Tahoma"/>
        <w:b/>
        <w:bCs/>
      </w:rPr>
      <w:t xml:space="preserve">. </w:t>
    </w:r>
    <w:r w:rsidR="008E394E">
      <w:rPr>
        <w:rFonts w:ascii="Century" w:hAnsi="Century" w:cs="Tahoma"/>
        <w:b/>
        <w:bCs/>
        <w:lang w:val="id-ID"/>
      </w:rPr>
      <w:t>...</w:t>
    </w:r>
    <w:proofErr w:type="gramEnd"/>
    <w:r w:rsidR="008E394E">
      <w:rPr>
        <w:rFonts w:ascii="Century" w:hAnsi="Century" w:cs="Tahoma"/>
        <w:b/>
        <w:bCs/>
      </w:rPr>
      <w:t xml:space="preserve"> Nomor </w:t>
    </w:r>
    <w:r w:rsidR="008E394E">
      <w:rPr>
        <w:rFonts w:ascii="Century" w:hAnsi="Century" w:cs="Tahoma"/>
        <w:b/>
        <w:bCs/>
        <w:lang w:val="id-ID"/>
      </w:rPr>
      <w:t>...</w:t>
    </w:r>
    <w:r w:rsidR="008E394E">
      <w:rPr>
        <w:rFonts w:ascii="Century" w:hAnsi="Century" w:cs="Tahoma"/>
        <w:b/>
        <w:bCs/>
      </w:rPr>
      <w:t xml:space="preserve"> </w:t>
    </w:r>
    <w:proofErr w:type="gramStart"/>
    <w:r w:rsidR="008E394E">
      <w:rPr>
        <w:rFonts w:ascii="Century" w:hAnsi="Century" w:cs="Tahoma"/>
        <w:b/>
        <w:bCs/>
      </w:rPr>
      <w:t xml:space="preserve">Tahun </w:t>
    </w:r>
    <w:r w:rsidR="008E394E">
      <w:rPr>
        <w:rFonts w:ascii="Century" w:hAnsi="Century" w:cs="Tahoma"/>
        <w:b/>
        <w:bCs/>
        <w:lang w:val="id-ID"/>
      </w:rPr>
      <w:t>....</w:t>
    </w:r>
    <w:proofErr w:type="gramEnd"/>
  </w:p>
  <w:p w14:paraId="052FE52A" w14:textId="73C85CEC" w:rsidR="00BE32B1" w:rsidRPr="005501E6" w:rsidRDefault="00BE32B1" w:rsidP="005501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9816E" w14:textId="77777777" w:rsidR="00A92026" w:rsidRPr="008E394E" w:rsidRDefault="00A92026" w:rsidP="00A92026">
    <w:pPr>
      <w:pStyle w:val="Footer"/>
      <w:jc w:val="right"/>
      <w:rPr>
        <w:rFonts w:ascii="Palatino Linotype" w:hAnsi="Palatino Linotype" w:cs="Tahoma"/>
        <w:b/>
        <w:bCs/>
      </w:rPr>
    </w:pPr>
    <w:r w:rsidRPr="008E394E">
      <w:rPr>
        <w:rFonts w:ascii="Palatino Linotype" w:hAnsi="Palatino Linotype" w:cs="Tahoma"/>
        <w:b/>
        <w:bCs/>
      </w:rPr>
      <w:t xml:space="preserve">Jurnal La Tenriruwa </w:t>
    </w:r>
  </w:p>
  <w:p w14:paraId="16B72E88" w14:textId="35F6C3BF" w:rsidR="00A92026" w:rsidRPr="008E394E" w:rsidRDefault="000532EA" w:rsidP="00A92026">
    <w:pPr>
      <w:pStyle w:val="Footer"/>
      <w:jc w:val="right"/>
      <w:rPr>
        <w:rFonts w:ascii="Palatino Linotype" w:hAnsi="Palatino Linotype" w:cs="Tahoma"/>
        <w:b/>
        <w:bCs/>
        <w:lang w:val="id-ID"/>
      </w:rPr>
    </w:pPr>
    <w:r w:rsidRPr="008E394E">
      <w:rPr>
        <w:rFonts w:ascii="Palatino Linotype" w:hAnsi="Palatino Linotype" w:cs="Tahoma"/>
        <w:b/>
        <w:bCs/>
      </w:rPr>
      <w:t xml:space="preserve">Vol. </w:t>
    </w:r>
    <w:r w:rsidRPr="008E394E">
      <w:rPr>
        <w:rFonts w:ascii="Palatino Linotype" w:hAnsi="Palatino Linotype" w:cs="Tahoma"/>
        <w:b/>
        <w:bCs/>
        <w:lang w:val="id-ID"/>
      </w:rPr>
      <w:t>2</w:t>
    </w:r>
    <w:r w:rsidRPr="008E394E">
      <w:rPr>
        <w:rFonts w:ascii="Palatino Linotype" w:hAnsi="Palatino Linotype" w:cs="Tahoma"/>
        <w:b/>
        <w:bCs/>
      </w:rPr>
      <w:t xml:space="preserve"> Nomor 1 Tahun 202</w:t>
    </w:r>
    <w:r w:rsidRPr="008E394E">
      <w:rPr>
        <w:rFonts w:ascii="Palatino Linotype" w:hAnsi="Palatino Linotype" w:cs="Tahoma"/>
        <w:b/>
        <w:bCs/>
        <w:lang w:val="id-ID"/>
      </w:rPr>
      <w:t>3</w:t>
    </w:r>
  </w:p>
  <w:p w14:paraId="2EFAD359" w14:textId="2C3AF9EC" w:rsidR="00A60DB9" w:rsidRPr="00A92026" w:rsidRDefault="00A92026" w:rsidP="000532EA">
    <w:pPr>
      <w:pStyle w:val="Footer"/>
      <w:tabs>
        <w:tab w:val="clear" w:pos="4513"/>
        <w:tab w:val="clear" w:pos="9026"/>
        <w:tab w:val="right" w:pos="6916"/>
      </w:tabs>
    </w:pPr>
    <w:r>
      <w:rPr>
        <w:noProof/>
      </w:rPr>
      <w:drawing>
        <wp:anchor distT="0" distB="0" distL="114300" distR="114300" simplePos="0" relativeHeight="251680768" behindDoc="1" locked="0" layoutInCell="1" allowOverlap="1" wp14:anchorId="1B035251" wp14:editId="174F557F">
          <wp:simplePos x="0" y="0"/>
          <wp:positionH relativeFrom="column">
            <wp:posOffset>-88207</wp:posOffset>
          </wp:positionH>
          <wp:positionV relativeFrom="paragraph">
            <wp:posOffset>-123190</wp:posOffset>
          </wp:positionV>
          <wp:extent cx="5521036" cy="781004"/>
          <wp:effectExtent l="0" t="0" r="381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flipH="1">
                    <a:off x="0" y="0"/>
                    <a:ext cx="5521036" cy="781004"/>
                  </a:xfrm>
                  <a:prstGeom prst="rect">
                    <a:avLst/>
                  </a:prstGeom>
                  <a:noFill/>
                  <a:ln>
                    <a:noFill/>
                  </a:ln>
                </pic:spPr>
              </pic:pic>
            </a:graphicData>
          </a:graphic>
          <wp14:sizeRelH relativeFrom="page">
            <wp14:pctWidth>0</wp14:pctWidth>
          </wp14:sizeRelH>
          <wp14:sizeRelV relativeFrom="page">
            <wp14:pctHeight>0</wp14:pctHeight>
          </wp14:sizeRelV>
        </wp:anchor>
      </w:drawing>
    </w:r>
    <w:r w:rsidR="000532EA">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93F61" w14:textId="2757D946" w:rsidR="00C16022" w:rsidRPr="008E394E" w:rsidRDefault="00A92026" w:rsidP="00C16022">
    <w:pPr>
      <w:pStyle w:val="Footer"/>
      <w:rPr>
        <w:rFonts w:ascii="Palatino Linotype" w:hAnsi="Palatino Linotype" w:cs="Tahoma"/>
      </w:rPr>
    </w:pPr>
    <w:r w:rsidRPr="008E394E">
      <w:rPr>
        <w:rFonts w:ascii="Palatino Linotype" w:hAnsi="Palatino Linotype" w:cs="Tahoma"/>
        <w:b/>
        <w:bCs/>
        <w:noProof/>
      </w:rPr>
      <w:drawing>
        <wp:anchor distT="0" distB="0" distL="114300" distR="114300" simplePos="0" relativeHeight="251675648" behindDoc="1" locked="0" layoutInCell="1" allowOverlap="1" wp14:anchorId="43B5CBF7" wp14:editId="7B1BE6FF">
          <wp:simplePos x="0" y="0"/>
          <wp:positionH relativeFrom="column">
            <wp:posOffset>-1066165</wp:posOffset>
          </wp:positionH>
          <wp:positionV relativeFrom="paragraph">
            <wp:posOffset>147378</wp:posOffset>
          </wp:positionV>
          <wp:extent cx="6517640" cy="678180"/>
          <wp:effectExtent l="0" t="0" r="0" b="762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764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022" w:rsidRPr="008E394E">
      <w:rPr>
        <w:rFonts w:ascii="Palatino Linotype" w:hAnsi="Palatino Linotype" w:cs="Tahoma"/>
      </w:rPr>
      <w:t>Program Studi Bimbingan Penyuluhan Islam</w:t>
    </w:r>
  </w:p>
  <w:p w14:paraId="46723510" w14:textId="5B699AED" w:rsidR="00A92026" w:rsidRPr="008E394E" w:rsidRDefault="00A92026" w:rsidP="00A92026">
    <w:pPr>
      <w:pStyle w:val="Footer"/>
      <w:rPr>
        <w:rFonts w:ascii="Palatino Linotype" w:hAnsi="Palatino Linotype" w:cs="Tahoma"/>
      </w:rPr>
    </w:pPr>
    <w:r w:rsidRPr="008E394E">
      <w:rPr>
        <w:rFonts w:ascii="Palatino Linotype" w:hAnsi="Palatino Linotype" w:cs="Tahoma"/>
      </w:rPr>
      <w:t>Fakultas Ushuluddin &amp; Dakwah IAIN Bone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3392F" w14:textId="77777777" w:rsidR="00EE15A3" w:rsidRDefault="00EE15A3" w:rsidP="00724837">
      <w:r>
        <w:separator/>
      </w:r>
    </w:p>
  </w:footnote>
  <w:footnote w:type="continuationSeparator" w:id="0">
    <w:p w14:paraId="5948C257" w14:textId="77777777" w:rsidR="00EE15A3" w:rsidRDefault="00EE15A3" w:rsidP="00724837">
      <w:r>
        <w:continuationSeparator/>
      </w:r>
    </w:p>
  </w:footnote>
  <w:footnote w:id="1">
    <w:p w14:paraId="698E4A2E" w14:textId="3AA20644" w:rsidR="004E229A" w:rsidRPr="004E229A" w:rsidRDefault="004E229A" w:rsidP="004E229A">
      <w:pPr>
        <w:pStyle w:val="FootnoteText"/>
        <w:spacing w:afterAutospacing="0" w:line="276" w:lineRule="auto"/>
        <w:rPr>
          <w:rFonts w:ascii="Palatino Linotype" w:hAnsi="Palatino Linotype"/>
        </w:rPr>
      </w:pPr>
      <w:r>
        <w:rPr>
          <w:rStyle w:val="FootnoteReference"/>
        </w:rPr>
        <w:footnoteRef/>
      </w:r>
      <w: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{"citationItems":[{"id":"ITEM-1","itemData":{"DOI":"10.25299/jicop.v3i1s.12363","ISSN":"2809-0608","abstract":"Peningkatan jumlah angka kekerasan seksual pada anak mengalami beberapa dampak kerugian secara fisik, psikologis, sosial dan lainnya. Namun dampak tersebut bukan hanya dialami oleh korban anak namun juga dialami oleh para orang tua korban. Penanganan yang holistik dalam upaya pemulihan atau rehabilitasi korban dapat diprediksikan akan memberikan hasil yang signifikan, diantaranya adalah pemulihan korban dan orang tua (keluarga korban) Rehabilitasi dilakukan secara bertahap, dimulai dengan setting individual melalui terapi Qana’ah, terapi dzikir secara setting kelompok (ayah-ibu/suami-istri), dan Islamic Trauma Healing untuk meningkatkan kesejahteraan psikologis para orang tua yang mengalami peristiwa yang sama dengan setting komunitas.","author":[{"dropping-particle":"","family":"Habibie","given":"Temy Andreas","non-dropping-particle":"","parse-names":false,"suffix":""},{"dropping-particle":"","family":"Uyun","given":"Qurotul","non-dropping-particle":"","parse-names":false,"suffix":""}],"container-title":"Journal of Islamic and Contemporary Psychology (JICOP)","id":"ITEM-1","issue":"1s","issued":{"date-parts":[["2023"]]},"page":"221-230","title":"Model Intervensi Islam Dalam Penanganan Gejala Gangguan Stress Pasca Trauma pada Orang Tua yang Memiliki Anak Sebagai Korban Kekerasan Seksual","type":"article-journal","volume":"3"},"uris":["http://www.mendeley.com/documents/?uuid=397d8274-a675-4693-83f0-149a06a1aa8c"]}],"mendeley":{"formattedCitation":"Temy Andreas Habibie and Qurotul Uyun, “Model Intervensi Islam Dalam Penanganan Gejala Gangguan Stress Pasca Trauma Pada Orang Tua Yang Memiliki Anak Sebagai Korban Kekerasan Seksual,” &lt;i&gt;Journal of Islamic and Contemporary Psychology (JICOP)&lt;/i&gt; 3, no. 1s (2023): 221–30, https://doi.org/10.25299/jicop.v3i1s.12363.","plainTextFormattedCitation":"Temy Andreas Habibie and Qurotul Uyun, “Model Intervensi Islam Dalam Penanganan Gejala Gangguan Stress Pasca Trauma Pada Orang Tua Yang Memiliki Anak Sebagai Korban Kekerasan Seksual,” Journal of Islamic and Contemporary Psychology (JICOP) 3, no. 1s (2023): 221–30, https://doi.org/10.25299/jicop.v3i1s.12363.","previouslyFormattedCitation":"(Habibie and Uyun 2023)"},"properties":{"noteIndex":1},"schema":"https://github.com/citation-style-language/schema/raw/master/csl-citation.json"}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Temy Andreas Habibie and Qurotul Uyun, “Model Intervensi Islam Dalam Penanganan Gejala Gangguan Stress Pasca Trauma Pada Orang Tua Yang Memiliki Anak Sebagai Korban Kekerasan Seksual,” </w:t>
      </w:r>
      <w:r w:rsidRPr="004E229A">
        <w:rPr>
          <w:rFonts w:ascii="Palatino Linotype" w:hAnsi="Palatino Linotype"/>
          <w:i/>
          <w:noProof/>
        </w:rPr>
        <w:t>Journal of Islamic and Contemporary Psychology (JICOP)</w:t>
      </w:r>
      <w:r w:rsidRPr="004E229A">
        <w:rPr>
          <w:rFonts w:ascii="Palatino Linotype" w:hAnsi="Palatino Linotype"/>
          <w:noProof/>
        </w:rPr>
        <w:t xml:space="preserve"> 3, no. 1s (2023): 221–30, https://doi.org/10.25299/jicop.v3i1s.12363.</w:t>
      </w:r>
      <w:r w:rsidRPr="004E229A">
        <w:rPr>
          <w:rFonts w:ascii="Palatino Linotype" w:hAnsi="Palatino Linotype"/>
        </w:rPr>
        <w:fldChar w:fldCharType="end"/>
      </w:r>
    </w:p>
  </w:footnote>
  <w:footnote w:id="2">
    <w:p w14:paraId="18456875" w14:textId="32F35B35"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{"citationItems":[{"id":"ITEM-1","itemData":{"DOI":"10.22146/jkkk.78215","ISSN":"2614-445X","abstract":"Background: There are many sexual violence cases take place from school to college. Women mostly become sexual harassment victims, while men largely become the perpetrators. The most common forms of sexual harassment include hurtful or threatening comments, direct aggressive act, and online sexual harassment. Sexual harassment causes health problems, damaging mental, physical, social condition, and somatic effect. Eventhough, various efforts have been done, sexual harassment case against women keeps increasing.Objective: To explore strategies for handling sexual harassment in adolescents.Method: The research used Sexual AND Harassment as the keywords. Literature was selected from ScienceDirect, PubMed, ClinicalKey, and ProQuest databases with screening results 21,311 (N) articles. Total 5 (n) articles were analyzed from the results of the research quality assessment process at the minimum quartile of Scimago Journal Rank (SJR) 1 (Q1) and they also analyzed using critical appraisal  from Joanna Briggs Institute.Result: There were five literatures that fulfilled the criteria and had the strategy in reducing and preventing the occurrence of sexual harassment as their content. Themes of these articles included i.e.: prevention of sexual harassment (n=1), education material in sexual harassment content (n=1), and sexual harassment intervention (n=3).Conclusion: These three strategies (sexual harassment prevention, education, and intervention) can be applied in schools or colleges and can be used as a curriculum to improve individual behavior and reduce harassment.ABSTRAKLatar belakang: Banyak kasus kekerasan seksual terjadi di sekolah hingga perguruan tinggi. Pada umumnya, korban pelecehan seksual adalah perempuan dan pelaku pelecehan seksual sebagian besar adalah laki-laki . Bentuk pelecehan yang paling besar, meliputi: komentar yang menyinggung atau mengancam; perlakuan secara langsung; serta pelecehan seksual di dunia maya (online). Pelecehan seksual mengakibatkan masalah kesehatan, dapat merusak kondisi mental, fisik, sosial, hingga menimbulkan efek somatik. Berbagai upaya penanganan kasus kekerasan seksual telah dilakukan. Namun, kasus kekerasan terhadap perempuan masih mengalami peningkatan.Tujuan: Mengkaji strategi penanganan pelecehan seksual pada remaja.Metode: Penelusuran menggunakan kata kunci  untuk mengidentifikasi penelitian yang relevan. Seleksi literatur dilakukan melalui database yang tersedia di ScienceDirect, PubMed, ClinicalKey, dan ProQu…","author":[{"dropping-particle":"","family":"Ardiansyah","given":"Fino","non-dropping-particle":"","parse-names":false,"suffix":""},{"dropping-particle":"","family":"Muqorona","given":"Matsna Wilda","non-dropping-particle":"","parse-names":false,"suffix":""},{"dropping-particle":"","family":"Nurahma","given":"Fariskha Yulfa","non-dropping-particle":"","parse-names":false,"suffix":""},{"dropping-particle":"","family":"Prasityo","given":"Muhammad Dodik","non-dropping-particle":"","parse-names":false,"suffix":""}],"container-title":"Jurnal Keperawatan Klinis dan Komunitas (Clinical and Community Nursing Journal)","id":"ITEM-1","issue":"2","issued":{"date-parts":[["2023"]]},"page":"81","title":"Strategi Penanganan Pelecehan Seksual di Kalangan Remaja: Tinjauan Literatur","type":"article-journal","volume":"7"},"uris":["http://www.mendeley.com/documents/?uuid=ce06e554-d2d6-406c-8016-c8f7d140d68e"]}],"mendeley":{"formattedCitation":"Fino Ardiansyah et al., “Strategi Penanganan Pelecehan Seksual Di Kalangan Remaja: Tinjauan Literatur,” &lt;i&gt;Jurnal Keperawatan Klinis Dan Komunitas (Clinical and Community Nursing Journal)&lt;/i&gt; 7, no. 2 (2023): 81, https://doi.org/10.22146/jkkk.78215.","plainTextFormattedCitation":"Fino Ardiansyah et al., “Strategi Penanganan Pelecehan Seksual Di Kalangan Remaja: Tinjauan Literatur,” Jurnal Keperawatan Klinis Dan Komunitas (Clinical and Community Nursing Journal) 7, no. 2 (2023): 81, https://doi.org/10.22146/jkkk.78215.","previouslyFormattedCitation":"(Ardiansyah et al. 2023)"},"properties":{"noteIndex":2},"schema":"https://github.com/citation-style-language/schema/raw/master/csl-citation.json"}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Fino Ardiansyah et al., “Strategi Penanganan Pelecehan Seksual Di Kalangan Remaja: Tinjauan Literatur,” </w:t>
      </w:r>
      <w:r w:rsidRPr="004E229A">
        <w:rPr>
          <w:rFonts w:ascii="Palatino Linotype" w:hAnsi="Palatino Linotype"/>
          <w:i/>
          <w:noProof/>
        </w:rPr>
        <w:t>Jurnal Keperawatan Klinis Dan Komunitas (Clinical and Community Nursing Journal)</w:t>
      </w:r>
      <w:r w:rsidRPr="004E229A">
        <w:rPr>
          <w:rFonts w:ascii="Palatino Linotype" w:hAnsi="Palatino Linotype"/>
          <w:noProof/>
        </w:rPr>
        <w:t xml:space="preserve"> 7, no. 2 (2023): 81, https://doi.org/10.22146/jkkk.78215.</w:t>
      </w:r>
      <w:r w:rsidRPr="004E229A">
        <w:rPr>
          <w:rFonts w:ascii="Palatino Linotype" w:hAnsi="Palatino Linotype"/>
        </w:rPr>
        <w:fldChar w:fldCharType="end"/>
      </w:r>
    </w:p>
  </w:footnote>
  <w:footnote w:id="3">
    <w:p w14:paraId="736A68B4" w14:textId="5C854A44"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{"citationItems":[{"id":"ITEM-1","itemData":{"DOI":"10.31004/obsesi.v4i2.438","ISSN":"2356-1327","abstract":"Tujuan penelitian ini adalah untuk menguji pengaruh keterlibatan orangtua dan regulasi diri terhadap perilaku bullying pada anak usia 5-6 tahun TK Kelompok B di Kota Kupang. Metode ex post facto dengan treatment by level 2x2. Penarikan sampel menggunakan teknik pengambilan sampel acak kelompok, sehingga terpilihlah dua kelurahan yaitu Kelurahan Oetete dan Fatululi. Teknik analisis data menggunakan uji normalitas dan homogenitas.  Hasil ditemukan bahwa terdapat perbedaan perilaku bullying antar anak yang memiliki keterlibatan orangtua tinggi dan anak yang memiliki keterlibatan orangtua rendah, perbedaan perilaku bullying antara anak yang memiliki regulasi diri tinggi dengan anak yang memiliki regulasi diri rendah. Disimpulkan bahwa adanya pengaruh signifikan antara keterlibatan orangtua dan regulasi diri terhadap perilaku bullying anak. Implikasi hasil penelitian menunjukkan antar variabel memberikan kontribusi bagi perkembangan sosial dan diri anak di lingkungan. Oleh karena itu,  keterlibatan orangtua  tinggi merupakan standar bagi pengaturan diri anak dalam menampilkan perilaku  yang diharapkan sesuai tumbuh kembang anak.","author":[{"dropping-particle":"","family":"Dey Putri","given":"Lidia Anjelina","non-dropping-particle":"","parse-names":false,"suffix":""},{"dropping-particle":"","family":"Yetti","given":"Elindra","non-dropping-particle":"","parse-names":false,"suffix":""},{"dropping-particle":"","family":"Hartati","given":"Sofia","non-dropping-particle":"","parse-names":false,"suffix":""}],"container-title":"Jurnal Obsesi : Jurnal Pendidikan Anak Usia Dini","id":"ITEM-1","issue":"2","issued":{"date-parts":[["2020"]]},"page":"715","title":"Pengaruh Keterlibatan Orangtua dan Regulasi Diri terhadap Perilaku Bullying Anak Usia Dini","type":"article-journal","volume":"4"},"uris":["http://www.mendeley.com/documents/?uuid=03ac9a1c-9d90-4f3c-9286-e3b2e753b70d"]}],"mendeley":{"formattedCitation":"Lidia Anjelina Dey Putri, Elindra Yetti, and Sofia Hartati, “Pengaruh Keterlibatan Orangtua Dan Regulasi Diri Terhadap Perilaku Bullying Anak Usia Dini,” &lt;i&gt;Jurnal Obsesi</w:instrText>
      </w:r>
      <w:r w:rsidRPr="004E229A">
        <w:rPr>
          <w:rFonts w:ascii="Times New Roman" w:hAnsi="Times New Roman" w:cs="Times New Roman"/>
        </w:rPr>
        <w:instrText> </w:instrText>
      </w:r>
      <w:r w:rsidRPr="004E229A">
        <w:rPr>
          <w:rFonts w:ascii="Palatino Linotype" w:hAnsi="Palatino Linotype"/>
        </w:rPr>
        <w:instrText>: Jurnal Pendidikan Anak Usia Dini&lt;/i&gt; 4, no. 2 (2020): 715, https://doi.org/10.31004/obsesi.v4i2.438.","plainTextFormattedCitation":"Lidia Anjelina Dey Putri, Elindra Yetti, and Sofia Hartati, “Pengaruh Keterlibatan Orangtua Dan Regulasi Diri Terhadap Perilaku Bullying Anak Usia Dini,” Jurnal Obsesi</w:instrText>
      </w:r>
      <w:r w:rsidRPr="004E229A">
        <w:rPr>
          <w:rFonts w:ascii="Times New Roman" w:hAnsi="Times New Roman" w:cs="Times New Roman"/>
        </w:rPr>
        <w:instrText> </w:instrText>
      </w:r>
      <w:r w:rsidRPr="004E229A">
        <w:rPr>
          <w:rFonts w:ascii="Palatino Linotype" w:hAnsi="Palatino Linotype"/>
        </w:rPr>
        <w:instrText>: Jurnal Pendidikan Anak Usia Dini 4, no. 2 (2020): 715, https://doi.org/10.31004/obsesi.v4i2.438.","previouslyFormattedCitation":"(Dey Putri, Yetti, and Hartati 2020)"},"properties":{"noteIndex":3},"schema":"https://github.com/citation-style-language/schema/raw/master/csl-citation.json"}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Lidia Anjelina Dey Putri, Elindra Yetti, and Sofia Hartati, “Pengaruh Keterlibatan Orangtua Dan Regulasi Diri Terhadap Perilaku Bullying Anak Usia Dini,” </w:t>
      </w:r>
      <w:r w:rsidRPr="004E229A">
        <w:rPr>
          <w:rFonts w:ascii="Palatino Linotype" w:hAnsi="Palatino Linotype"/>
          <w:i/>
          <w:noProof/>
        </w:rPr>
        <w:t>Jurnal Obsesi</w:t>
      </w:r>
      <w:r w:rsidRPr="004E229A">
        <w:rPr>
          <w:rFonts w:ascii="Times New Roman" w:hAnsi="Times New Roman" w:cs="Times New Roman"/>
          <w:i/>
          <w:noProof/>
        </w:rPr>
        <w:t> </w:t>
      </w:r>
      <w:r w:rsidRPr="004E229A">
        <w:rPr>
          <w:rFonts w:ascii="Palatino Linotype" w:hAnsi="Palatino Linotype"/>
          <w:i/>
          <w:noProof/>
        </w:rPr>
        <w:t>: Jurnal Pendidikan Anak Usia Dini</w:t>
      </w:r>
      <w:r w:rsidRPr="004E229A">
        <w:rPr>
          <w:rFonts w:ascii="Palatino Linotype" w:hAnsi="Palatino Linotype"/>
          <w:noProof/>
        </w:rPr>
        <w:t xml:space="preserve"> 4, no. 2 (2020): 715, https://doi.org/10.31004/obsesi.v4i2.438.</w:t>
      </w:r>
      <w:r w:rsidRPr="004E229A">
        <w:rPr>
          <w:rFonts w:ascii="Palatino Linotype" w:hAnsi="Palatino Linotype"/>
        </w:rPr>
        <w:fldChar w:fldCharType="end"/>
      </w:r>
    </w:p>
  </w:footnote>
  <w:footnote w:id="4">
    <w:p w14:paraId="6ACB5D3E" w14:textId="5FB58F2C"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{"citationItems":[{"id":"ITEM-1","itemData":{"abstract":"ABSTRAK Penggunaan teknologi dan internet yang dilakukan oleh para remaja tidak dapat dihindari dari adanya resiko atau dapat disebut dengan cyberbullying. Cyberbullying merupakan perilaku yang dilakukan secara berulang kali dengan tujuan untuk menyakiti melalui sosial media. Faktor-faktor yang dapat mempengaruhi perilaku cyberbullying salah satunya adalah faktor internal, yaitu dalam penelitian ini adalah regulasi diri. Regulasi diri merupakan kemampuan individu dalam mengatur pikiran, perasaan serta tindakannya. Tujuan penelitian ini adalah untuk mengetahui pengaruh regulasi diri terhadap perilaku cyberbullying. Penelitian ini merupakan penelitian korelasional. Subjek penelitian adalah siswa SMP berusia 12-15 tahun dengan pengambilan sampel menggunakan teknik purposive sampling. Instrumen penelitian menggunakan skala regulasi diri yang diadaptasi dan disusun berdasarkan aspek-aspek yang telah dijelaskan oleh Zimmerman. Skala perilaku cyberbullying diadaptasi dan disusun berdasarkan aspek menurut Langos. Metode analisis data menggunakan metode regresi linear. Hasil penelitian menunjukkan adanya pengaruh negatif dan signifikan antara regulasi diri terhadap perilaku cyberbullying. Adapun kontribusi regulasi diri terhadap perilaku cyberbullying sebesar 52.6% Kata kunci: regulasi diri, perilaku cyberbullying, siswa SMP ABSTRACT The use of technology and the internet that is done by teenagers cannot be avoided from the risk of cyberbullying. Cyberbullying is a behavior that is done with the aim to hurt through social media. One of the factors that can influence cyberbullying behavior is internal factor, in this study named self-regulation. Self-regulation is the ability of individuals to regulate their thoughts, feelings and actions. The purpose of this study was to determine the effect of self-regulation on cyberbullying behavior. This research is a correlational study. The subjects of this study were junior high school students aged 12-15 years using purposive sampling technique. This research instrument uses a scale of self-regulation that was adapted based on aspects that have been explained by Zimmerman. The cyberbullying behavior scale was adapted and arranged based on aspects according to Langos. Data analysis method uses linear regression methos. The result showed a negative and significant effect between self-regulation on cyberbullying behavior. The contribution of self regulation to cyberbullying behavior is 52.6%.","author":[{"dropping-particle":"","family":"Prihambodo","given":"Calvin Zannua","non-dropping-particle":"","parse-names":false,"suffix":""},{"dropping-particle":"","family":"Anwar","given":"Zainul","non-dropping-particle":"","parse-names":false,"suffix":""},{"dropping-particle":"","family":"Andriany","given":"Devina","non-dropping-particle":"","parse-names":false,"suffix":""},{"dropping-particle":"","family":"Psikologi","given":"Fakultas","non-dropping-particle":"","parse-names":false,"suffix":""}],"container-title":"Psycho Holistic","id":"ITEM-1","issue":"1","issued":{"date-parts":[["2020"]]},"page":"2020-2685","title":"Peran Regulasi Diri Terhadap Perilaku Cyberbullying (The Role Of Self Regulation Of Cyberbullying Behavior)","type":"article-journal","volume":"2"},"uris":["http://www.mendeley.com/documents/?uuid=9c1f30fa-3e8a-4b6d-b2b7-0164f8911658"]}],"mendeley":{"formattedCitation":"Calvin Zannua Prihambodo et al., “Peran Regulasi Diri Terhadap Perilaku Cyberbullying (The Role Of Self Regulation Of Cyberbullying Behavior),” &lt;i&gt;Psycho Holistic&lt;/i&gt; 2, no. 1 (2020): 2020–2685, http://journal.umbjm.ac.id/index.php/psychoholistic.","plainTextFormattedCitation":"Calvin Zannua Prihambodo et al., “Peran Regulasi Diri Terhadap Perilaku Cyberbullying (The Role Of Self Regulation Of Cyberbullying Behavior),” Psycho Holistic 2, no. 1 (2020): 2020–2685, http://journal.umbjm.ac.id/index.php/psychoholistic.","previouslyFormattedCitation":"(Prihambodo et al. 2020)"},"properties":{"noteIndex":4},"schema":"https://github.com/citation-style-language/schema/raw/master/csl-citation.json"}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Calvin Zannua Prihambodo et al., “Peran Regulasi Diri Terhadap Perilaku Cyberbullying (The Role Of Self Regulation Of Cyberbullying Behavior),” </w:t>
      </w:r>
      <w:r w:rsidRPr="004E229A">
        <w:rPr>
          <w:rFonts w:ascii="Palatino Linotype" w:hAnsi="Palatino Linotype"/>
          <w:i/>
          <w:noProof/>
        </w:rPr>
        <w:t>Psycho Holistic</w:t>
      </w:r>
      <w:r w:rsidRPr="004E229A">
        <w:rPr>
          <w:rFonts w:ascii="Palatino Linotype" w:hAnsi="Palatino Linotype"/>
          <w:noProof/>
        </w:rPr>
        <w:t xml:space="preserve"> 2, no. 1 (2020): 2020–2685, http://journal.umbjm.ac.id/index.php/psychoholistic.</w:t>
      </w:r>
      <w:r w:rsidRPr="004E229A">
        <w:rPr>
          <w:rFonts w:ascii="Palatino Linotype" w:hAnsi="Palatino Linotype"/>
        </w:rPr>
        <w:fldChar w:fldCharType="end"/>
      </w:r>
    </w:p>
  </w:footnote>
  <w:footnote w:id="5">
    <w:p w14:paraId="2500494F" w14:textId="753064E4" w:rsidR="004E229A" w:rsidRPr="004E229A" w:rsidRDefault="004E229A" w:rsidP="004E229A">
      <w:pPr>
        <w:pStyle w:val="FootnoteText"/>
        <w:spacing w:afterAutospacing="0" w:line="276" w:lineRule="auto"/>
        <w:rPr>
          <w:rFonts w:ascii="Palatino Linotype" w:hAnsi="Palatino Linotype"/>
        </w:rPr>
      </w:pPr>
      <w:r>
        <w:rPr>
          <w:rStyle w:val="FootnoteReference"/>
        </w:rPr>
        <w:footnoteRef/>
      </w:r>
      <w: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{"citationItems":[{"id":"ITEM-1","itemData":{"DOI":"10.35878/islamicreview.v10i2.285","ISSN":"2089-8142","abstract":"Bullying has two different perceptions in pesantren. Firstly, bullying is something tense, stressful, containing an element that is very hard, extreme. Pesantren as educational institutions that educate students morals has immoral actions that to fatal. Secondly, bullying has goodwill, to practice independence, heart constancy of students in pesantren. Bullying words or actions that normally (mild bullying) don’t mean to be criminal but based on to strengthen the relationship of brotherhood so that mentally strengthen of students. This article is the result of the author’s thought who observes of the reality that bullying culture circulation at in pesantren. A systematic reflection is an approach for the author in making this research. The author analyzes that the circulation of sociological is the action or verbal bullying in pesantren is can has a positive impact that is growing the power mental of students. However, that psychologically bullying in pesantren has a negative impact that is something very fatal like depression, stress, and other ugliness.","author":[{"dropping-particle":"","family":"Ulum","given":"Mokhamad Miptakhul","non-dropping-particle":"","parse-names":false,"suffix":""}],"container-title":"Islamic Review: Jurnal Riset dan Kajian Keislaman","id":"ITEM-1","issue":"2","issued":{"date-parts":[["2021"]]},"page":"191-204","title":"Sirkulasi Sosiologis dan Psikologis dalam Fenomena Bullying di Pesantren","type":"article-journal","volume":"10"},"uris":["http://www.mendeley.com/documents/?uuid=ae4952ba-85c4-46b7-a83a-1cd5d771e874"]}],"mendeley":{"formattedCitation":"Mokhamad Miptakhul Ulum, “Sirkulasi Sosiologis Dan Psikologis Dalam Fenomena Bullying Di Pesantren,” &lt;i&gt;Islamic Review: Jurnal Riset Dan Kajian Keislaman&lt;/i&gt; 10, no. 2 (2021): 191–204, https://doi.org/10.35878/islamicreview.v10i2.285.","plainTextFormattedCitation":"Mokhamad Miptakhul Ulum, “Sirkulasi Sosiologis Dan Psikologis Dalam Fenomena Bullying Di Pesantren,” Islamic Review: Jurnal Riset Dan Kajian Keislaman 10, no. 2 (2021): 191–204, https://doi.org/10.35878/islamicreview.v10i2.285.","previouslyFormattedCitation":"(Ulum 2021)"},"properties":{"noteIndex":5},"schema":"https://github.com/citation-style-language/schema/raw/master/csl-citation.json"}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Mokhamad Miptakhul Ulum, “Sirkulasi Sosiologis Dan Psikologis Dalam Fenomena Bullying Di Pesantren,” </w:t>
      </w:r>
      <w:r w:rsidRPr="004E229A">
        <w:rPr>
          <w:rFonts w:ascii="Palatino Linotype" w:hAnsi="Palatino Linotype"/>
          <w:i/>
          <w:noProof/>
        </w:rPr>
        <w:t>Islamic Review: Jurnal Riset Dan Kajian Keislaman</w:t>
      </w:r>
      <w:r w:rsidRPr="004E229A">
        <w:rPr>
          <w:rFonts w:ascii="Palatino Linotype" w:hAnsi="Palatino Linotype"/>
          <w:noProof/>
        </w:rPr>
        <w:t xml:space="preserve"> 10, no. 2 (2021): 191–204, https://doi.org/10.35878/islamicreview.v10i2.285.</w:t>
      </w:r>
      <w:r w:rsidRPr="004E229A">
        <w:rPr>
          <w:rFonts w:ascii="Palatino Linotype" w:hAnsi="Palatino Linotype"/>
        </w:rPr>
        <w:fldChar w:fldCharType="end"/>
      </w:r>
    </w:p>
  </w:footnote>
  <w:footnote w:id="6">
    <w:p w14:paraId="7DF10F69" w14:textId="07B30505"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ISBN":"9780080453705","author":[{"dropping-particle":"","family":"Karunia","given":"","non-dropping-particle":"","parse-names":false,"suffix":""}],"id":"ITEM-1","issue":"June","issued":{"date-parts":[["2016"]]},"page":"2016","title":"INTERVENSI TIM RPTC DALAM PENANGANAN KRISIS PADA WANITA KORBAN KEKERASAN SEKSUAL (STUDY KASUS DI (RPTC) RUMAH PERLINDUNGAN TRAUMA CENTER BPRSW YOGYAKARTA)","type":"article-journal","volume":"4"},"uris":["http://www.mendeley.com/documents/?uuid=79f74fa0-f1f1-4d43-b999-0f2b392f7867"]}],"mendeley":{"formattedCitation":"Karunia, “INTERVENSI TIM RPTC DALAM PENANGANAN KRISIS PADA WANITA KORBAN KEKERASAN SEKSUAL (STUDY KASUS DI (RPTC) RUMAH PERLINDUNGAN TRAUMA CENTER BPRSW YOGYAKARTA)” 4, no. June (2016): 2016.","plainTextFormattedCitation":"Karunia, “INTERVENSI TIM RPTC DALAM PENANGANAN KRISIS PADA WANITA KORBAN KEKERASAN SEKSUAL (STUDY KASUS DI (RPTC) RUMAH PERLINDUNGAN TRAUMA CENTER BPRSW YOGYAKARTA)” 4, no. June (2016): 2016.","previouslyFormattedCitation":"(Karunia 2016)"},"properties":{"noteIndex":6},"schema":"https://github.com/citation-style-language/schema/raw/master/csl-citation.json"}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Karunia, “INTERVENSI TIM RPTC DALAM PENANGANAN KRISIS PADA WANITA KORBAN KEKERASAN SEKSUAL (STUDY KASUS DI (RPTC) RUMAH PERLINDUNGAN TRAUMA CENTER BPRSW YOGYAKARTA)” 4, no. June (2016): 2016.</w:t>
      </w:r>
      <w:r w:rsidRPr="004E229A">
        <w:rPr>
          <w:rFonts w:ascii="Palatino Linotype" w:hAnsi="Palatino Linotype"/>
        </w:rPr>
        <w:fldChar w:fldCharType="end"/>
      </w:r>
    </w:p>
  </w:footnote>
  <w:footnote w:id="7">
    <w:p w14:paraId="67D9294E" w14:textId="63B6BB26"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{"citationItems":[{"id":"ITEM-1","itemData":{"DOI":"10.35931/am.v6i3.1054","ISSN":"2620-5807","abstract":"&lt;p&gt;&lt;em&gt;Penelitian ini membahas tentang perilaku bullying di sekolah. Penelitian ini bertujuan untuk mengetahui bentuk-bentuk perilaku bullying di sekolah dan upaya pencegahan perilaku bullying. Penelitian ini menggunakan metode literature. Hasil penelitian menyebutkan bahwa ada tiga jenis perilaku bullying di sekolah yaitu bullying fisik, bullying verbal dan bullying psikologis. Bullying fisik adalah bullying yang dapat dilihat, contoh bullying fisik yaitu memukul, mencubit, mendorong, menginjak kaki dan melempar dengan barang. Bullying verbal adalah bullying yang dapat didengar, contoh bullying verbal yaitu mengancam, memberikan julukan, mengejek, menyebarkan gosip dan menyoraki. Bullying psikologis adalah bullying yang tidak bisa dilihat dan didengar (berhubungan dengan mental), contoh bullying psikologis yaitu memandang sinis, mendiamkan, memelototi dan mengucilkan. Adapaun upaya pencegahan bullying, yaitu peran serta orang tua, penyuluhan, pembuatan poster anti bullying, pemutaran film anti bullying, peran serta guru bimbingan dan konseling, pengembangan modul  bimbingan dan konseling, pengembangan media video bimbingan dan konseling dan peran serta guru mata pelajaran.&lt;/em&gt;&lt;/p&gt;","author":[{"dropping-particle":"","family":"Nur","given":"Muhammad","non-dropping-particle":"","parse-names":false,"suffix":""},{"dropping-particle":"","family":"Yasriuddin","given":"Yasriuddin","non-dropping-particle":"","parse-names":false,"suffix":""},{"dropping-particle":"","family":"Azijah","given":"Nor","non-dropping-particle":"","parse-names":false,"suffix":""}],"container-title":"Al-Madrasah: Jurnal Pendidikan Madrasah Ibtidaiyah","id":"ITEM-1","issue":"3","issued":{"date-parts":[["2022"]]},"page":"685","title":"Identifikasi Perilaku Bullying Di Sekolah (Sebuah Upaya Preventif)","type":"article-journal","volume":"6"},"uris":["http://www.mendeley.com/documents/?uuid=106e1396-66ba-4086-880e-bbc2b86627f6"]}],"mendeley":{"formattedCitation":"Muhammad Nur, Yasriuddin Yasriuddin, and Nor Azijah, “Identifikasi Perilaku Bullying Di Sekolah (Sebuah Upaya Preventif),” &lt;i&gt;Al-Madrasah: Jurnal Pendidikan Madrasah Ibtidaiyah&lt;/i&gt; 6, no. 3 (2022): 685, https://doi.org/10.35931/am.v6i3.1054.","plainTextFormattedCitation":"Muhammad Nur, Yasriuddin Yasriuddin, and Nor Azijah, “Identifikasi Perilaku Bullying Di Sekolah (Sebuah Upaya Preventif),” Al-Madrasah: Jurnal Pendidikan Madrasah Ibtidaiyah 6, no. 3 (2022): 685, https://doi.org/10.35931/am.v6i3.1054.","previouslyFormattedCitation":"(Nur, Yasriuddin, and Azijah 2022)"},"properties":{"noteIndex":7},"schema":"https://github.com/citation-style-language/schema/raw/master/csl-citation.json"}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Muhammad Nur, Yasriuddin Yasriuddin, and Nor Azijah, “Identifikasi Perilaku Bullying Di Sekolah (Sebuah Upaya Preventif),” </w:t>
      </w:r>
      <w:r w:rsidRPr="004E229A">
        <w:rPr>
          <w:rFonts w:ascii="Palatino Linotype" w:hAnsi="Palatino Linotype"/>
          <w:i/>
          <w:noProof/>
        </w:rPr>
        <w:t>Al-Madrasah: Jurnal Pendidikan Madrasah Ibtidaiyah</w:t>
      </w:r>
      <w:r w:rsidRPr="004E229A">
        <w:rPr>
          <w:rFonts w:ascii="Palatino Linotype" w:hAnsi="Palatino Linotype"/>
          <w:noProof/>
        </w:rPr>
        <w:t xml:space="preserve"> 6, no. 3 (2022): 685, https://doi.org/10.35931/am.v6i3.1054.</w:t>
      </w:r>
      <w:r w:rsidRPr="004E229A">
        <w:rPr>
          <w:rFonts w:ascii="Palatino Linotype" w:hAnsi="Palatino Linotype"/>
        </w:rPr>
        <w:fldChar w:fldCharType="end"/>
      </w:r>
    </w:p>
  </w:footnote>
  <w:footnote w:id="8">
    <w:p w14:paraId="7DAEA587" w14:textId="7F34E147"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{"citationItems":[{"id":"ITEM-1","itemData":{"author":[{"dropping-particle":"","family":"Yudhawasthi","given":"Ciwuk Musiana","non-dropping-particle":"","parse-names":false,"suffix":""},{"dropping-particle":"","family":"Rifaldi Akbar","given":"Moh","non-dropping-particle":"","parse-names":false,"suffix":""},{"dropping-particle":"","family":"Lestari","given":"Anita Dwi","non-dropping-particle":"","parse-names":false,"suffix":""},{"dropping-particle":"","family":"Nabawiyah","given":"Dinda","non-dropping-particle":"","parse-names":false,"suffix":""},{"dropping-particle":"","family":"Faustina","given":"Helena","non-dropping-particle":"","parse-names":false,"suffix":""},{"dropping-particle":"","family":"Bhayangkara","given":"Universitas","non-dropping-particle":"","parse-names":false,"suffix":""},{"dropping-particle":"","family":"Raya","given":"Jakarta","non-dropping-particle":"","parse-names":false,"suffix":""}],"container-title":"Pusat Studi Gender dan Anak UIN Alauddin Makassar Sipakalebbi","id":"ITEM-1","issue":"2","issued":{"date-parts":[["2023"]]},"title":"Analisis Pengetahuan Dosen Dan Mahasiswa Universitas Bhayangkara Jakarta Raya Tentang Pencegahan Dan Penanganan Kekerasan Seksual","type":"article-journal","volume":"7"},"uris":["http://www.mendeley.com/documents/?uuid=76e7ef8d-6852-4a51-a65c-8ad949057991"]}],"mendeley":{"formattedCitation":"Ciwuk Musiana Yudhawasthi et al., “Analisis Pengetahuan Dosen Dan Mahasiswa Universitas Bhayangkara Jakarta Raya Tentang Pencegahan Dan Penanganan Kekerasan Seksual,” &lt;i&gt;Pusat Studi Gender Dan Anak UIN Alauddin Makassar Sipakalebbi&lt;/i&gt; 7, no. 2 (2023).","plainTextFormattedCitation":"Ciwuk Musiana Yudhawasthi et al., “Analisis Pengetahuan Dosen Dan Mahasiswa Universitas Bhayangkara Jakarta Raya Tentang Pencegahan Dan Penanganan Kekerasan Seksual,” Pusat Studi Gender Dan Anak UIN Alauddin Makassar Sipakalebbi 7, no. 2 (2023).","previouslyFormattedCitation":"(Yudhawasthi et al. 2023)"},"properties":{"noteIndex":8},"schema":"https://github.com/citation-style-language/schema/raw/master/csl-citation.json"}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Ciwuk Musiana Yudhawasthi et al., “Analisis Pengetahuan Dosen Dan Mahasiswa Universitas Bhayangkara Jakarta Raya Tentang Pencegahan Dan Penanganan Kekerasan Seksual,” </w:t>
      </w:r>
      <w:r w:rsidRPr="004E229A">
        <w:rPr>
          <w:rFonts w:ascii="Palatino Linotype" w:hAnsi="Palatino Linotype"/>
          <w:i/>
          <w:noProof/>
        </w:rPr>
        <w:t>Pusat Studi Gender Dan Anak UIN Alauddin Makassar Sipakalebbi</w:t>
      </w:r>
      <w:r w:rsidRPr="004E229A">
        <w:rPr>
          <w:rFonts w:ascii="Palatino Linotype" w:hAnsi="Palatino Linotype"/>
          <w:noProof/>
        </w:rPr>
        <w:t xml:space="preserve"> 7, no. 2 (2023).</w:t>
      </w:r>
      <w:r w:rsidRPr="004E229A">
        <w:rPr>
          <w:rFonts w:ascii="Palatino Linotype" w:hAnsi="Palatino Linotype"/>
        </w:rPr>
        <w:fldChar w:fldCharType="end"/>
      </w:r>
    </w:p>
  </w:footnote>
  <w:footnote w:id="9">
    <w:p w14:paraId="7A7EA9C1" w14:textId="22B14D4E"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{"citationItems":[{"id":"ITEM-1","itemData":{"abstract":"Penelitian mengenai layanan bimbingan dan konseling islam dalam\npemulihan kesehatan mental bagi anak korban kekerasan di pusat pelayanan\nterpadu pemberdayaan perempuan dan anak bertujuan untuk mengetahui upaya\npemulihan kesehatan mental (psikososial) bagi anak korban kekerasan yang\ndilakukan di Pusat Pelayanan. Jenis penelitian ini adalah penelitian kualitatif\ndengan pendekatan bimbingan dan psikologi. Sumber data primer dan data\nsekunder adalah bahan pustaka, kajian dari penelitian terdahulu, artikel-artikel.\nSelanjutnya metode pengumpulan data yang digunakan adalah observasi,\nwawancara, dan dokumentasi. Teknik pengolahan data dan analisis data dilakukan\ndengan melalui tiga tahapan yaitu reduksi data, penyajian data dan penarikan\nkesimpulan.\nHasil penelitian menunjukkan bahwa upaya yang dilakukan petugas\nP2TP2A dalam pemulihan kesehatan mental bagi anak korban kekerasan adalah\ndengan melakukan bimbingan dan konseling individual, bimbingan konseling\nkeluarga dan bimbingan konseling pasca trauma.","author":[{"dropping-particle":"","family":"Muh. Ilham","given":"Nurwalidah Noviyanti","non-dropping-particle":"","parse-names":false,"suffix":""}],"container-title":"Jurnal Mimbar Kesejahteraan Sosial","id":"ITEM-1","issued":{"date-parts":[["2020"]]},"page":"2655-7320","title":"Layanan Bimbingan Konseling Islam Dalam Pemulihan\nKesehatan Mental Bagi Anak Korban Kekerasan\nDi Pusat Pelayanan Terpadu Pemberdayaan\nPerempuan Dan Anak Kabupaten Gowa","type":"article-journal","volume":"3"},"uris":["http://www.mendeley.com/documents/?uuid=d78dc357-df4a-4e79-a97c-e2a42adce0f4"]}],"mendeley":{"formattedCitation":"Nurwalidah Noviyanti Muh. Ilham, “Layanan Bimbingan Konseling Islam Dalam Pemulihan Mental Bagi Anak Korban Kekerasan Pusat Pelayanan Terpadu Pemberdayaan Dan Anak Kabupaten Gowa,” &lt;i&gt;Jurnal Mimbar Kesejahteraan Sosial&lt;/i&gt; 3 (2020): 2655–7320.","plainTextFormattedCitation":"Nurwalidah Noviyanti Muh. Ilham, “Layanan Bimbingan Konseling Islam Dalam Pemulihan Mental Bagi Anak Korban Kekerasan Pusat Pelayanan Terpadu Pemberdayaan Dan Anak Kabupaten Gowa,” Jurnal Mimbar Kesejahteraan Sosial 3 (2020): 2655–7320.","previouslyFormattedCitation":"(Muh. Ilham 2020)"},"properties":{"noteIndex":9},"schema":"https://github.com/citation-style-language/schema/raw/master/csl-citation.json"}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Nurwalidah Noviyanti Muh. Ilham, “Layanan Bimbingan Konseling Islam Dalam Pemulihan Mental Bagi Anak Korban Kekerasan Pusat Pelayanan Terpadu Pemberdayaan Dan Anak Kabupaten Gowa,” </w:t>
      </w:r>
      <w:r w:rsidRPr="004E229A">
        <w:rPr>
          <w:rFonts w:ascii="Palatino Linotype" w:hAnsi="Palatino Linotype"/>
          <w:i/>
          <w:noProof/>
        </w:rPr>
        <w:t>Jurnal Mimbar Kesejahteraan Sosial</w:t>
      </w:r>
      <w:r w:rsidRPr="004E229A">
        <w:rPr>
          <w:rFonts w:ascii="Palatino Linotype" w:hAnsi="Palatino Linotype"/>
          <w:noProof/>
        </w:rPr>
        <w:t xml:space="preserve"> 3 (2020): 2655–7320.</w:t>
      </w:r>
      <w:r w:rsidRPr="004E229A">
        <w:rPr>
          <w:rFonts w:ascii="Palatino Linotype" w:hAnsi="Palatino Linotype"/>
        </w:rPr>
        <w:fldChar w:fldCharType="end"/>
      </w:r>
    </w:p>
  </w:footnote>
  <w:footnote w:id="10">
    <w:p w14:paraId="10B6EDF9" w14:textId="482B9A9A"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{"citationItems":[{"id":"ITEM-1","itemData":{"abstract":"Pendidikan pada zaman digital menghadapi tantangan dan peluang yang belum pernah ada sebelumnya seiring merasuknya teknologi ke dalam berbagai aspek kehidupan kita, termasuk dunia pendidikan. Dalam khususnya di Ilmu Pengetahuan Sosial (IPS), peran media pembelajaran audio visual semakin penting. Tulisan ini melakukan tinjauan terhadap kajian literatur yang ada untuk mengeksplorasi signifikansi media pembelajaran audio visual dalam pembelajaran IPS dan dampak penggunaannya dalam konteks pendidikan di era digital. Kebermaknaan media pembelajaran audio visual dalam pembelajaran IPS tidak dapat diabaikan. Media ini memungkinkan penyajian materi yang lebih menarik, memotivasi siswa, dan meningkatkan pemahaman terhadap materi. Dalam konteks sejarah, geografi, ekonomi, dan aspek IPS lainnya, media ini mendukung siswa dalam memvisualisasikan konsep-konsep yang seringkali bersifat abstrak. Mereka dapat melihat dan mendengar informasi dalam berbagai format, mulai dari video dokumenter hingga grafik interaktif, memfasilitasi pemahaman yang lebih mendalam tentang isu-isu sosial, budaya, politik, dan ekonomi di dunia nyata. Di zaman di mana informasi berlimpah dan teknologi terus maju, media pembelajaran audio visual membantu siswa untuk memahami dan menafsirkan realitas di sekitar mereka. Implikasi penggunaannya dalam pembelajaran IPS mencakup peningkatan dalam pemahaman, motivasi, dan keterampilan siswa untuk menghadapi tantangan di era digital ini.","author":[{"dropping-particle":"","family":"R. Septianingsih, D. Safitri","given":"S.Sujarwo","non-dropping-particle":"","parse-names":false,"suffix":""}],"container-title":"Cendekia Pendidikan","id":"ITEM-1","issue":"1","issued":{"date-parts":[["2023"]]},"page":"1-13","title":"Pendidikan Seksual Pada Remaja Berbasis Budaya Sebagai Tindakan Preventif Kekerasan Seksual","type":"article-journal","volume":"1"},"uris":["http://www.mendeley.com/documents/?uuid=b4a60071-0c17-4760-b7c4-eb8bbfed6600"]}],"mendeley":{"formattedCitation":"S.Sujarwo R. Septianingsih, D. Safitri, “Pendidikan Seksual Pada Remaja Berbasis Budaya Sebagai Tindakan Preventif Kekerasan Seksual,” &lt;i&gt;Cendekia Pendidikan&lt;/i&gt; 1, no. 1 (2023): 1–13, https://ejournal.warunayama.org/index.php/sindorocendikiapendidikan/article/view/769.","plainTextFormattedCitation":"S.Sujarwo R. Septianingsih, D. Safitri, “Pendidikan Seksual Pada Remaja Berbasis Budaya Sebagai Tindakan Preventif Kekerasan Seksual,” Cendekia Pendidikan 1, no. 1 (2023): 1–13, https://ejournal.warunayama.org/index.php/sindorocendikiapendidikan/article/view/769.","previouslyFormattedCitation":"(R. Septianingsih, D. Safitri 2023)"},"properties":{"noteIndex":10},"schema":"https://github.com/citation-style-language/schema/raw/master/csl-citation.json"}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S.Sujarwo R. Septianingsih, D. Safitri, “Pendidikan Seksual Pada Remaja Berbasis Budaya Sebagai Tindakan Preventif Kekerasan Seksual,” </w:t>
      </w:r>
      <w:r w:rsidRPr="004E229A">
        <w:rPr>
          <w:rFonts w:ascii="Palatino Linotype" w:hAnsi="Palatino Linotype"/>
          <w:i/>
          <w:noProof/>
        </w:rPr>
        <w:t>Cendekia Pendidikan</w:t>
      </w:r>
      <w:r w:rsidRPr="004E229A">
        <w:rPr>
          <w:rFonts w:ascii="Palatino Linotype" w:hAnsi="Palatino Linotype"/>
          <w:noProof/>
        </w:rPr>
        <w:t xml:space="preserve"> 1, no. 1 (2023): 1–13, https://ejournal.warunayama.org/index.php/sindorocendikiapendidikan/article/view/769.</w:t>
      </w:r>
      <w:r w:rsidRPr="004E229A">
        <w:rPr>
          <w:rFonts w:ascii="Palatino Linotype" w:hAnsi="Palatino Linotype"/>
        </w:rPr>
        <w:fldChar w:fldCharType="end"/>
      </w:r>
    </w:p>
  </w:footnote>
  <w:footnote w:id="11">
    <w:p w14:paraId="6E27231A" w14:textId="39DA1401"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{"citationItems":[{"id":"ITEM-1","itemData":{"abstract":"The family is the smallest unit of society consisting of the head of the family and several people who are gathered and live in one place under one roof in a state of interdependence. This research aims to find out what things families can do for their children who are do studies at one of the UIN Syarif Hidayatullah Jakarta and how important this is. The method in this research uses qualitative methods. Qualitative data was obtained by conducting in-depth interviews and Focus Group Discussions (FGD) with several students who will become informants. The results of the research show that the conclusion of this research is families have a very important role in creating a supportive environment for the welfare of their children's mental health. According to them, family is the best support system which has the most important role in providing full support which makes them even more enthusiastic.","author":[{"dropping-particle":"","family":"Labiq","given":"Ahmad","non-dropping-particle":"","parse-names":false,"suffix":""},{"dropping-particle":"","family":"Hulaiyah","given":"Siti","non-dropping-particle":"","parse-names":false,"suffix":""}],"container-title":"Observasi : Jurnal Publikasi Ilmu Psikologi","id":"ITEM-1","issue":"1","issued":{"date-parts":[["2024"]]},"page":"20-27","title":"Pentingnya Dukungan Keluarga Dalam Meningkatkan Kesehatan Mental Mahasiswa Prodi Bimbingan Penyuluhan Islam","type":"article-journal","volume":"2"},"uris":["http://www.mendeley.com/documents/?uuid=8625c7d4-6770-4110-9276-350f6f5538cd"]}],"mendeley":{"formattedCitation":"Ahmad Labiq and Siti Hulaiyah, “Pentingnya Dukungan Keluarga Dalam Meningkatkan Kesehatan Mental Mahasiswa Prodi Bimbingan Penyuluhan Islam,” &lt;i&gt;Observasi</w:instrText>
      </w:r>
      <w:r w:rsidRPr="004E229A">
        <w:rPr>
          <w:rFonts w:ascii="Times New Roman" w:hAnsi="Times New Roman" w:cs="Times New Roman"/>
        </w:rPr>
        <w:instrText> </w:instrText>
      </w:r>
      <w:r w:rsidRPr="004E229A">
        <w:rPr>
          <w:rFonts w:ascii="Palatino Linotype" w:hAnsi="Palatino Linotype"/>
        </w:rPr>
        <w:instrText>: Jurnal Publikasi Ilmu Psikologi&lt;/i&gt; 2, no. 1 (2024): 20</w:instrText>
      </w:r>
      <w:r w:rsidRPr="004E229A">
        <w:rPr>
          <w:rFonts w:ascii="Palatino Linotype" w:hAnsi="Palatino Linotype" w:cs="Palatino Linotype"/>
        </w:rPr>
        <w:instrText>–</w:instrText>
      </w:r>
      <w:r w:rsidRPr="004E229A">
        <w:rPr>
          <w:rFonts w:ascii="Palatino Linotype" w:hAnsi="Palatino Linotype"/>
        </w:rPr>
        <w:instrText>27.","plainTextFormattedCitation":"Ahmad Labiq and Siti Hulaiyah, “Pentingnya Dukungan Keluarga Dalam Meningkatkan Kesehatan Mental Mahasiswa Prodi Bimbingan Penyuluhan Islam,” Observasi</w:instrText>
      </w:r>
      <w:r w:rsidRPr="004E229A">
        <w:rPr>
          <w:rFonts w:ascii="Times New Roman" w:hAnsi="Times New Roman" w:cs="Times New Roman"/>
        </w:rPr>
        <w:instrText> </w:instrText>
      </w:r>
      <w:r w:rsidRPr="004E229A">
        <w:rPr>
          <w:rFonts w:ascii="Palatino Linotype" w:hAnsi="Palatino Linotype"/>
        </w:rPr>
        <w:instrText>: Jurnal Publikasi Ilmu Psikologi 2, no. 1 (2024): 20</w:instrText>
      </w:r>
      <w:r w:rsidRPr="004E229A">
        <w:rPr>
          <w:rFonts w:ascii="Palatino Linotype" w:hAnsi="Palatino Linotype" w:cs="Palatino Linotype"/>
        </w:rPr>
        <w:instrText>–</w:instrText>
      </w:r>
      <w:r w:rsidRPr="004E229A">
        <w:rPr>
          <w:rFonts w:ascii="Palatino Linotype" w:hAnsi="Palatino Linotype"/>
        </w:rPr>
        <w:instrText>27.","previouslyFormattedCitation":"(Labiq and Hulaiyah 2024)"},"properties":{"noteIndex":11},"schema":"https://github.com/citation-style-language/schema/raw/master/csl-citation.json"}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Ahmad Labiq and Siti Hulaiyah, “Pentingnya Dukungan Keluarga Dalam Meningkatkan Kesehatan Mental Mahasiswa Prodi Bimbingan Penyuluhan Islam,” </w:t>
      </w:r>
      <w:r w:rsidRPr="004E229A">
        <w:rPr>
          <w:rFonts w:ascii="Palatino Linotype" w:hAnsi="Palatino Linotype"/>
          <w:i/>
          <w:noProof/>
        </w:rPr>
        <w:t>Observasi</w:t>
      </w:r>
      <w:r w:rsidRPr="004E229A">
        <w:rPr>
          <w:rFonts w:ascii="Times New Roman" w:hAnsi="Times New Roman" w:cs="Times New Roman"/>
          <w:i/>
          <w:noProof/>
        </w:rPr>
        <w:t> </w:t>
      </w:r>
      <w:r w:rsidRPr="004E229A">
        <w:rPr>
          <w:rFonts w:ascii="Palatino Linotype" w:hAnsi="Palatino Linotype"/>
          <w:i/>
          <w:noProof/>
        </w:rPr>
        <w:t>: Jurnal Publikasi Ilmu Psikologi</w:t>
      </w:r>
      <w:r w:rsidRPr="004E229A">
        <w:rPr>
          <w:rFonts w:ascii="Palatino Linotype" w:hAnsi="Palatino Linotype"/>
          <w:noProof/>
        </w:rPr>
        <w:t xml:space="preserve"> 2, no. 1 (2024): 20–27.</w:t>
      </w:r>
      <w:r w:rsidRPr="004E229A">
        <w:rPr>
          <w:rFonts w:ascii="Palatino Linotype" w:hAnsi="Palatino Linotype"/>
        </w:rPr>
        <w:fldChar w:fldCharType="end"/>
      </w:r>
    </w:p>
  </w:footnote>
  <w:footnote w:id="12">
    <w:p w14:paraId="619913FE" w14:textId="0396F22A"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{"citationItems":[{"id":"ITEM-1","itemData":{"DOI":"10.35931/am.v6i3.1054","ISSN":"2620-5807","abstract":"&lt;p&gt;&lt;em&gt;Penelitian ini membahas tentang perilaku bullying di sekolah. Penelitian ini bertujuan untuk mengetahui bentuk-bentuk perilaku bullying di sekolah dan upaya pencegahan perilaku bullying. Penelitian ini menggunakan metode literature. Hasil penelitian menyebutkan bahwa ada tiga jenis perilaku bullying di sekolah yaitu bullying fisik, bullying verbal dan bullying psikologis. Bullying fisik adalah bullying yang dapat dilihat, contoh bullying fisik yaitu memukul, mencubit, mendorong, menginjak kaki dan melempar dengan barang. Bullying verbal adalah bullying yang dapat didengar, contoh bullying verbal yaitu mengancam, memberikan julukan, mengejek, menyebarkan gosip dan menyoraki. Bullying psikologis adalah bullying yang tidak bisa dilihat dan didengar (berhubungan dengan mental), contoh bullying psikologis yaitu memandang sinis, mendiamkan, memelototi dan mengucilkan. Adapaun upaya pencegahan bullying, yaitu peran serta orang tua, penyuluhan, pembuatan poster anti bullying, pemutaran film anti bullying, peran serta guru bimbingan dan konseling, pengembangan modul  bimbingan dan konseling, pengembangan media video bimbingan dan konseling dan peran serta guru mata pelajaran.&lt;/em&gt;&lt;/p&gt;","author":[{"dropping-particle":"","family":"Nur","given":"Muhammad","non-dropping-particle":"","parse-names":false,"suffix":""},{"dropping-particle":"","family":"Yasriuddin","given":"Yasriuddin","non-dropping-particle":"","parse-names":false,"suffix":""},{"dropping-particle":"","family":"Azijah","given":"Nor","non-dropping-particle":"","parse-names":false,"suffix":""}],"container-title":"Al-Madrasah: Jurnal Pendidikan Madrasah Ibtidaiyah","id":"ITEM-1","issue":"3","issued":{"date-parts":[["2022"]]},"page":"685","title":"Identifikasi Perilaku Bullying Di Sekolah (Sebuah Upaya Preventif)","type":"article-journal","volume":"6"},"uris":["http://www.mendeley.com/documents/?uuid=106e1396-66ba-4086-880e-bbc2b86627f6"]}],"mendeley":{"formattedCitation":"Nur, Yasriuddin, and Azijah, “Identifikasi Perilaku Bullying Di Sekolah (Sebuah Upaya Preventif).”","plainTextFormattedCitation":"Nur, Yasriuddin, and Azijah, “Identifikasi Perilaku Bullying Di Sekolah (Sebuah Upaya Preventif).”","previouslyFormattedCitation":"(Nur, Yasriuddin, and Azijah 2022)"},"properties":{"noteIndex":12},"schema":"https://github.com/citation-style-language/schema/raw/master/csl-citation.json"}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Nur, Yasriuddin, and Azijah, “Identifikasi Perilaku Bullying Di Sekolah (Sebuah Upaya Preventif).”</w:t>
      </w:r>
      <w:r w:rsidRPr="004E229A">
        <w:rPr>
          <w:rFonts w:ascii="Palatino Linotype" w:hAnsi="Palatino Linotype"/>
        </w:rPr>
        <w:fldChar w:fldCharType="end"/>
      </w:r>
    </w:p>
  </w:footnote>
  <w:footnote w:id="13">
    <w:p w14:paraId="59483C3E" w14:textId="180E2A81"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{"citationItems":[{"id":"ITEM-1","itemData":{"abstract":"Even though the majority of Indonesian people are Muslim, the money regulation system used by the government through monetary policy has not fully used the sharia system, the Indonesian government still uses a dual system in regulating the money supply in Indonesia, among the instruments used is the interest rate where if the interest rate interest is used as a means of regulating the money supply, then the motive for money demand will be influenced by the desire for speculation, where this motive is prohibited in the Islamic economic system. This study aims to determine the demand for money in Indonesia from an Islamic perspective, where the demand for money must be determined based on economic activity in the real sector. The research method used is quantitative method, the data used in this research is secondary data. Data obtained from literature study and documentation collected from the Central Bureau of Statistics and Bank Indonesia. then the data analysis used is descriptive analysis and simple linear regression, by looking at the effect of Gross Domestic Product (GDP) as a form of real economic activity on the amount of money in circulation as a form of money demand in Indonesia. As for the data processing carried out, it was found that the amount of money circulating in Indonesia as a form of the amount of money demanded is indeed influenced by real economic activity (GDP). This means that the demand for money in Indonesia is in accordance with the concept of demand for money from an Islamic perspective","author":[{"dropping-particle":"","family":"Rika Widianita","given":"Dkk","non-dropping-particle":"","parse-names":false,"suffix":""}],"container-title":"AT-TAWASSUTH: Jurnal Ekonomi Islam","id":"ITEM-1","issue":"I","issued":{"date-parts":[["2023"]]},"page":"1-19","title":"BIMBINGAN KONSELING ISLAM DALAM MENCEGAH PERGAULAN BEBAS PADA REMAJA DI DESA KALEO KECAMATAN LAMBU KABUPATEN BIMA","type":"article-journal","volume":"VIII"},"uris":["http://www.mendeley.com/documents/?uuid=8af3059c-395b-4408-8d92-5eafad60911c"]}],"mendeley":{"formattedCitation":"Dkk Rika Widianita, “BIMBINGAN KONSELING ISLAM DALAM MENCEGAH PERGAULAN BEBAS PADA REMAJA DI DESA KALEO KECAMATAN LAMBU KABUPATEN BIMA,” &lt;i&gt;AT-TAWASSUTH: Jurnal Ekonomi Islam&lt;/i&gt; VIII, no. I (2023): 1–19.","plainTextFormattedCitation":"Dkk Rika Widianita, “BIMBINGAN KONSELING ISLAM DALAM MENCEGAH PERGAULAN BEBAS PADA REMAJA DI DESA KALEO KECAMATAN LAMBU KABUPATEN BIMA,” AT-TAWASSUTH: Jurnal Ekonomi Islam VIII, no. I (2023): 1–19.","previouslyFormattedCitation":"(Rika Widianita 2023a)"},"properties":{"noteIndex":13},"schema":"https://github.com/citation-style-language/schema/raw/master/csl-citation.json"}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Dkk Rika Widianita, “BIMBINGAN KONSELING ISLAM DALAM MENCEGAH PERGAULAN BEBAS PADA REMAJA DI DESA KALEO KECAMATAN LAMBU KABUPATEN BIMA,” </w:t>
      </w:r>
      <w:r w:rsidRPr="004E229A">
        <w:rPr>
          <w:rFonts w:ascii="Palatino Linotype" w:hAnsi="Palatino Linotype"/>
          <w:i/>
          <w:noProof/>
        </w:rPr>
        <w:t>AT-TAWASSUTH: Jurnal Ekonomi Islam</w:t>
      </w:r>
      <w:r w:rsidRPr="004E229A">
        <w:rPr>
          <w:rFonts w:ascii="Palatino Linotype" w:hAnsi="Palatino Linotype"/>
          <w:noProof/>
        </w:rPr>
        <w:t xml:space="preserve"> VIII, no. I (2023): 1–19.</w:t>
      </w:r>
      <w:r w:rsidRPr="004E229A">
        <w:rPr>
          <w:rFonts w:ascii="Palatino Linotype" w:hAnsi="Palatino Linotype"/>
        </w:rPr>
        <w:fldChar w:fldCharType="end"/>
      </w:r>
    </w:p>
  </w:footnote>
  <w:footnote w:id="14">
    <w:p w14:paraId="570C1B74" w14:textId="6EE07F8D"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{"citationItems":[{"id":"ITEM-1","itemData":{"DOI":"10.31004/basicedu.v6i3.2996","ISSN":"2580-3735","abstract":"Minat membaca siswa masih sangat minim, rendahnya literasi akan menjadi ancaman bagi kehidupan masa depan. Adanya literasi digital dapat digunakan untuk menumbuhkan budaya membaca. Tujuan penelitian ini, 1) Merumuskan implementasi literasi digital dalam pembelajaran dan program literasi sekolah untuk menumbuhkan budaya membaca siswa, dan 2) Menganalisis hambatan dalam pengimplematasian literasi digital pada pembelajaran dimasa pandemic. Penelitian ini menggunakan penelitian kualitatif deskriptif yang dilaksanakan di empat sekolah dasar di Kecamatan Laweyan dengan subjek penelitian meliputi kepala sekolah, guru kelas, dan siswa. Teknik pengumpulan data menggunakan wawancara, observasi, serta dokumentasi. Analisis data melalui reduksi data, display data, serta kesimpulan serta uji validitas data dengan triangulasi teknik dan sumber. Hasil penelitian diperoleh bahwa 1) seluruh sekolah telah menerapkan literasi digital dalam pembelajaran, dan mengintegrasikan IT walaupun belum sepenuhnya maksimal, guru memanfaatkan media dan aplikasi pembelajaran seperti Zoom,Google Classroom, WAG, dan Youtube, dengan literasi digital dapat menumbuhkan budaya membaca siswa saat masa pandemic. Program GLS sudah diterapkan meski belum seoptimal sebelum pandemic. 2) Kendala pelaksanaan literasi digital meliputi keterbatasan sarana prasarana, koneksi internet, siswa yang belum memiliki smartphone dan rendahnya SDM.","author":[{"dropping-particle":"","family":"Intaniasari","given":"Yossinta","non-dropping-particle":"","parse-names":false,"suffix":""},{"dropping-particle":"","family":"Utami","given":"Ratnasari Dyah","non-dropping-particle":"","parse-names":false,"suffix":""}],"container-title":"Jurnal Basicedu","id":"ITEM-1","issue":"3","issued":{"date-parts":[["2022"]]},"page":"4987-4998","title":"Menumbuhkan Budaya Membaca Siswa Melalui Literasi Digital dalam Pembelajaran dan Program Literasi Sekolah","type":"article-journal","volume":"6"},"uris":["http://www.mendeley.com/documents/?uuid=febaa279-835d-4306-af5a-90f8eb32fb61"]}],"mendeley":{"formattedCitation":"Yossinta Intaniasari and Ratnasari Dyah Utami, “Menumbuhkan Budaya Membaca Siswa Melalui Literasi Digital Dalam Pembelajaran Dan Program Literasi Sekolah,” &lt;i&gt;Jurnal Basicedu&lt;/i&gt; 6, no. 3 (2022): 4987–98, https://doi.org/10.31004/basicedu.v6i3.2996.","plainTextFormattedCitation":"Yossinta Intaniasari and Ratnasari Dyah Utami, “Menumbuhkan Budaya Membaca Siswa Melalui Literasi Digital Dalam Pembelajaran Dan Program Literasi Sekolah,” Jurnal Basicedu 6, no. 3 (2022): 4987–98, https://doi.org/10.31004/basicedu.v6i3.2996.","previouslyFormattedCitation":"(Intaniasari and Utami 2022)"},"properties":{"noteIndex":14},"schema":"https://github.com/citation-style-language/schema/raw/master/csl-citation.json"}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Yossinta Intaniasari and Ratnasari Dyah Utami, “Menumbuhkan Budaya Membaca Siswa Melalui Literasi Digital Dalam Pembelajaran Dan Program Literasi Sekolah,” </w:t>
      </w:r>
      <w:r w:rsidRPr="004E229A">
        <w:rPr>
          <w:rFonts w:ascii="Palatino Linotype" w:hAnsi="Palatino Linotype"/>
          <w:i/>
          <w:noProof/>
        </w:rPr>
        <w:t>Jurnal Basicedu</w:t>
      </w:r>
      <w:r w:rsidRPr="004E229A">
        <w:rPr>
          <w:rFonts w:ascii="Palatino Linotype" w:hAnsi="Palatino Linotype"/>
          <w:noProof/>
        </w:rPr>
        <w:t xml:space="preserve"> 6, no. 3 (2022): 4987–98, https://doi.org/10.31004/basicedu.v6i3.2996.</w:t>
      </w:r>
      <w:r w:rsidRPr="004E229A">
        <w:rPr>
          <w:rFonts w:ascii="Palatino Linotype" w:hAnsi="Palatino Linotype"/>
        </w:rPr>
        <w:fldChar w:fldCharType="end"/>
      </w:r>
    </w:p>
  </w:footnote>
  <w:footnote w:id="15">
    <w:p w14:paraId="32C6EF49" w14:textId="56837D9C"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{"citationItems":[{"id":"ITEM-1","itemData":{"ISSN":"3025-5961","abstract":"Islamic Counseling Guidance (BKI) is a key profession that provides support to individuals facing problems, helps them return to Islamic teachings (fitrah), and faces opportunities and challenges in the era of Industrial Revolution 4.0. Advances in information technology have facilitated changes and developments in human life patterns. However, various psycho-social and public health issues (such as drug abuse) also arise. BKI exists as a solution to these challenges, with improvements in services, techniques, and strategies designed to solve individual problems and meet the needs of society. Islamic guidance and counseling must be at the forefront because it is able to increase adolescent maturity, develop self-potential, and self-actualization and prepare adolescents to have skills that are in accordance with the challenges of the times. In the Digitalization Era, adolescents experience changes both physical, spiritual, mind, emotional turmoil based on social role conflicts. This research approach is a qualitative approach, namely the Inquiry strategy that emphasizes the search for meaning, understanding, concepts, characteristics, symbol symptoms, and descriptions of a phenomenon and; focused and multimethodical, natural and holistic; prioritizing quality, using several ways, and presented narratively.","author":[{"dropping-particle":"","family":"Nur 'izi","given":"Arilana","non-dropping-particle":"","parse-names":false,"suffix":""},{"dropping-particle":"","family":"Shobabiya","given":"Mahasri","non-dropping-particle":"","parse-names":false,"suffix":""}],"container-title":"IJM: Indonesian Journal of Multidisciplinary","id":"ITEM-1","issue":"1","issued":{"date-parts":[["2024"]]},"page":"1-8","title":"Penerapan Bimbingan Konseling Islami di Sekolah Strategi dan Implementasinya di Era Digital","type":"article-journal","volume":"2"},"uris":["http://www.mendeley.com/documents/?uuid=b8ad868c-3e56-4a0e-9c6a-1544fa652035"]}],"mendeley":{"formattedCitation":"Arilana Nur ’izi and Mahasri Shobabiya, “Penerapan Bimbingan Konseling Islami Di Sekolah Strategi Dan Implementasinya Di Era Digital,” &lt;i&gt;IJM: Indonesian Journal of Multidisciplinary&lt;/i&gt; 2, no. 1 (2024): 1–8, https://journal.csspublishing/index.php/ijm.","plainTextFormattedCitation":"Arilana Nur ’izi and Mahasri Shobabiya, “Penerapan Bimbingan Konseling Islami Di Sekolah Strategi Dan Implementasinya Di Era Digital,” IJM: Indonesian Journal of Multidisciplinary 2, no. 1 (2024): 1–8, https://journal.csspublishing/index.php/ijm.","previouslyFormattedCitation":"(Nur ’izi and Shobabiya 2024)"},"properties":{"noteIndex":15},"schema":"https://github.com/citation-style-language/schema/raw/master/csl-citation.json"}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Arilana Nur ’izi and Mahasri Shobabiya, “Penerapan Bimbingan Konseling Islami Di Sekolah Strategi Dan Implementasinya Di Era Digital,” </w:t>
      </w:r>
      <w:r w:rsidRPr="004E229A">
        <w:rPr>
          <w:rFonts w:ascii="Palatino Linotype" w:hAnsi="Palatino Linotype"/>
          <w:i/>
          <w:noProof/>
        </w:rPr>
        <w:t>IJM: Indonesian Journal of Multidisciplinary</w:t>
      </w:r>
      <w:r w:rsidRPr="004E229A">
        <w:rPr>
          <w:rFonts w:ascii="Palatino Linotype" w:hAnsi="Palatino Linotype"/>
          <w:noProof/>
        </w:rPr>
        <w:t xml:space="preserve"> 2, no. 1 (2024): 1–8, https://journal.csspublishing/index.php/ijm.</w:t>
      </w:r>
      <w:r w:rsidRPr="004E229A">
        <w:rPr>
          <w:rFonts w:ascii="Palatino Linotype" w:hAnsi="Palatino Linotype"/>
        </w:rPr>
        <w:fldChar w:fldCharType="end"/>
      </w:r>
    </w:p>
  </w:footnote>
  <w:footnote w:id="16">
    <w:p w14:paraId="3E7A5A07" w14:textId="11AC6EFD" w:rsidR="004E229A" w:rsidRPr="004E229A" w:rsidRDefault="004E229A" w:rsidP="004E229A">
      <w:pPr>
        <w:pStyle w:val="FootnoteText"/>
        <w:spacing w:afterAutospacing="0" w:line="276" w:lineRule="auto"/>
        <w:rPr>
          <w:rFonts w:ascii="Palatino Linotype" w:hAnsi="Palatino Linotype"/>
        </w:rPr>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{"citationItems":[{"id":"ITEM-1","itemData":{"DOI":"10.54471/dakwatuna.v7i1.925","ISSN":"2443-0617","abstract":"Unrest in the community regarding sexual violence against women and its handling by providing rehabilitation, one by providing religious guidance and counseling, because religion is one of the media used for behavioral therapy and mental or psychological healing. Through a qualitative research method with a field research approach, the author examines the process of religious guidance and counseling for women victims of sexual violence, as well as the results after being given religious guidance and counseling to women victims of sexual violence. The results of the study found that the process of religious guidance and counseling to clients is given by strengthening nature and faith by praying, worshiping, reading and understanding the scriptures and giving motivation to clients to get closer and surrender to Allah, by adjusting their various profiles. both in terms of problems, age, and client's condition. However, the results or changes are influenced by the victim's cognitive level or knowledge of religious teachings, and the mental condition factors that experience mental disorders. The professionalism of the counselor in providing religious guidance and counseling can also have an influence on the success of the counseling process so that the client's feelings become calmer and can accept his situation.\r Keywords: Religious Guidance and Counseling, Women Victims of Sexual Violence.","author":[{"dropping-particle":"","family":"Khoiroh","given":"Anikmatul","non-dropping-particle":"","parse-names":false,"suffix":""}],"container-title":"Dakwatuna: Jurnal Dakwah dan Komunikasi Islam","id":"ITEM-1","issue":"1","issued":{"date-parts":[["2021"]]},"page":"116","title":"Bimbingan dan Konseling Keagamaan Bagi Wanita Korban Kekerasan Seksual","type":"article-journal","volume":"7"},"uris":["http://www.mendeley.com/documents/?uuid=4c5e90d9-5549-4e3d-aec9-9318c7a11ff7"]}],"mendeley":{"formattedCitation":"Anikmatul Khoiroh, “Bimbingan Dan Konseling Keagamaan Bagi Wanita Korban Kekerasan Seksual,” &lt;i&gt;Dakwatuna: Jurnal Dakwah Dan Komunikasi Islam&lt;/i&gt; 7, no. 1 (2021): 116, https://doi.org/10.54471/dakwatuna.v7i1.925.","plainTextFormattedCitation":"Anikmatul Khoiroh, “Bimbingan Dan Konseling Keagamaan Bagi Wanita Korban Kekerasan Seksual,” Dakwatuna: Jurnal Dakwah Dan Komunikasi Islam 7, no. 1 (2021): 116, https://doi.org/10.54471/dakwatuna.v7i1.925.","previouslyFormattedCitation":"(Khoiroh 2021)"},"properties":{"noteIndex":16},"schema":"https://github.com/citation-style-language/schema/raw/master/csl-citation.json"}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 xml:space="preserve">Anikmatul Khoiroh, “Bimbingan Dan Konseling Keagamaan Bagi Wanita Korban Kekerasan Seksual,” </w:t>
      </w:r>
      <w:r w:rsidRPr="004E229A">
        <w:rPr>
          <w:rFonts w:ascii="Palatino Linotype" w:hAnsi="Palatino Linotype"/>
          <w:i/>
          <w:noProof/>
        </w:rPr>
        <w:t>Dakwatuna: Jurnal Dakwah Dan Komunikasi Islam</w:t>
      </w:r>
      <w:r w:rsidRPr="004E229A">
        <w:rPr>
          <w:rFonts w:ascii="Palatino Linotype" w:hAnsi="Palatino Linotype"/>
          <w:noProof/>
        </w:rPr>
        <w:t xml:space="preserve"> 7, no. 1 (2021): 116, https://doi.org/10.54471/dakwatuna.v7i1.925.</w:t>
      </w:r>
      <w:r w:rsidRPr="004E229A">
        <w:rPr>
          <w:rFonts w:ascii="Palatino Linotype" w:hAnsi="Palatino Linotype"/>
        </w:rPr>
        <w:fldChar w:fldCharType="end"/>
      </w:r>
    </w:p>
  </w:footnote>
  <w:footnote w:id="17">
    <w:p w14:paraId="39582609" w14:textId="28A28353" w:rsidR="004E229A" w:rsidRDefault="004E229A" w:rsidP="004E229A">
      <w:pPr>
        <w:pStyle w:val="FootnoteText"/>
        <w:spacing w:afterAutospacing="0" w:line="276" w:lineRule="auto"/>
      </w:pPr>
      <w:r w:rsidRPr="004E229A">
        <w:rPr>
          <w:rStyle w:val="FootnoteReference"/>
          <w:rFonts w:ascii="Palatino Linotype" w:hAnsi="Palatino Linotype"/>
        </w:rPr>
        <w:footnoteRef/>
      </w:r>
      <w:r w:rsidRPr="004E229A">
        <w:rPr>
          <w:rFonts w:ascii="Palatino Linotype" w:hAnsi="Palatino Linotype"/>
        </w:rPr>
        <w:t xml:space="preserve"> </w:t>
      </w:r>
      <w:r w:rsidRPr="004E229A">
        <w:rPr>
          <w:rFonts w:ascii="Palatino Linotype" w:hAnsi="Palatino Linotype"/>
        </w:rPr>
        <w:fldChar w:fldCharType="begin" w:fldLock="1"/>
      </w:r>
      <w:r w:rsidRPr="004E229A">
        <w:rPr>
          <w:rFonts w:ascii="Palatino Linotype" w:hAnsi="Palatino Linotype"/>
        </w:rPr>
        <w:instrText>ADDIN CSL_CITATION {"citationItems":[{"id":"ITEM-1","itemData":{"abstract":"Pendidikan pada zaman digital menghadapi tantangan dan peluang yang belum pernah ada sebelumnya seiring merasuknya teknologi ke dalam berbagai aspek kehidupan kita, termasuk dunia pendidikan. Dalam khususnya di Ilmu Pengetahuan Sosial (IPS), peran media pembelajaran audio visual semakin penting. Tulisan ini melakukan tinjauan terhadap kajian literatur yang ada untuk mengeksplorasi signifikansi media pembelajaran audio visual dalam pembelajaran IPS dan dampak penggunaannya dalam konteks pendidikan di era digital. Kebermaknaan media pembelajaran audio visual dalam pembelajaran IPS tidak dapat diabaikan. Media ini memungkinkan penyajian materi yang lebih menarik, memotivasi siswa, dan meningkatkan pemahaman terhadap materi. Dalam konteks sejarah, geografi, ekonomi, dan aspek IPS lainnya, media ini mendukung siswa dalam memvisualisasikan konsep-konsep yang seringkali bersifat abstrak. Mereka dapat melihat dan mendengar informasi dalam berbagai format, mulai dari video dokumenter hingga grafik interaktif, memfasilitasi pemahaman yang lebih mendalam tentang isu-isu sosial, budaya, politik, dan ekonomi di dunia nyata. Di zaman di mana informasi berlimpah dan teknologi terus maju, media pembelajaran audio visual membantu siswa untuk memahami dan menafsirkan realitas di sekitar mereka. Implikasi penggunaannya dalam pembelajaran IPS mencakup peningkatan dalam pemahaman, motivasi, dan keterampilan siswa untuk menghadapi tantangan di era digital ini.","author":[{"dropping-particle":"","family":"R. Septianingsih, D. Safitri","given":"S.Sujarwo","non-dropping-particle":"","parse-names":false,"suffix":""}],"container-title":"Cendekia Pendidikan","id":"ITEM-1","issue":"1","issued":{"date-parts":[["2023"]]},"page":"1-13","title":"Pendidikan Seksual Pada Remaja Berbasis Budaya Sebagai Tindakan Preventif Kekerasan Seksual","type":"article-journal","volume":"1"},"uris":["http://www.mendeley.com/documents/?uuid=b4a60071-0c17-4760-b7c4-eb8bbfed6600"]}],"mendeley":{"formattedCitation":"R. Septianingsih, D. Safitri, “Pendidikan Seksual Pada Remaja Berbasis Budaya Sebagai Tindakan Preventif Kekerasan Seksual.”","plainTextFormattedCitation":"R. Septianingsih, D. Safitri, “Pendidikan Seksual Pada Remaja Berbasis Budaya Sebagai Tindakan Preventif Kekerasan Seksual.”","previouslyFormattedCitation":"(R. Septianingsih, D. Safitri 2023)"},"properties":{"noteIndex":17},"schema":"https://github.com/citation-style-language/schema/raw/master/csl-citation.json"}</w:instrText>
      </w:r>
      <w:r w:rsidRPr="004E229A">
        <w:rPr>
          <w:rFonts w:ascii="Palatino Linotype" w:hAnsi="Palatino Linotype"/>
        </w:rPr>
        <w:fldChar w:fldCharType="separate"/>
      </w:r>
      <w:r w:rsidRPr="004E229A">
        <w:rPr>
          <w:rFonts w:ascii="Palatino Linotype" w:hAnsi="Palatino Linotype"/>
          <w:noProof/>
        </w:rPr>
        <w:t>R. Septianingsih, D. Safitri, “Pendidikan Seksual Pada Remaja Berbasis Budaya Sebagai Tindakan Preventif Kekerasan Seksual.”</w:t>
      </w:r>
      <w:r w:rsidRPr="004E229A">
        <w:rPr>
          <w:rFonts w:ascii="Palatino Linotype" w:hAnsi="Palatino Linotype"/>
        </w:rPr>
        <w:fldChar w:fldCharType="end"/>
      </w:r>
    </w:p>
  </w:footnote>
  <w:footnote w:id="18">
    <w:p w14:paraId="13F805A0" w14:textId="30217699" w:rsidR="004E229A" w:rsidRDefault="004E229A" w:rsidP="00A96093">
      <w:pPr>
        <w:pStyle w:val="FootnoteText"/>
        <w:spacing w:line="276" w:lineRule="auto"/>
      </w:pPr>
      <w:r>
        <w:rPr>
          <w:rStyle w:val="FootnoteReference"/>
        </w:rPr>
        <w:footnoteRef/>
      </w:r>
      <w:r>
        <w:t xml:space="preserve"> </w:t>
      </w:r>
      <w:r>
        <w:fldChar w:fldCharType="begin" w:fldLock="1"/>
      </w:r>
      <w:r>
        <w:instrText>ADDIN CSL_CITATION {"citationItems":[{"id":"ITEM-1","itemData":{"DOI":"10.33394/jpu.v2i2.3893","abstract":"The service activities that have been carried out aim to provide an understanding of bullying prevention for student organizations at the Muhammadiyah University of Mataram. The implementation method used is in the form of socialization and Focus Group Discussion (FGD). The socialization method is carried out online related to the delivery of material about preventing bullying among students and the Focus Group Discussion (FGD) method is carried out online by providing education to students regarding forms of bullying and its prevention. Based on the results of the service activities that have been carried out, it can be seen that the level of student understanding of bullying prevention is high. Thus, it can be concluded that bullying prevention training activities can provide a high level of understanding among students.","author":[{"dropping-particle":"","family":"Sakban","given":"Abdul","non-dropping-particle":"","parse-names":false,"suffix":""},{"dropping-particle":"","family":"Maemunah","given":"Maemunah","non-dropping-particle":"","parse-names":false,"suffix":""},{"dropping-particle":"","family":"Hafsah","given":"Hafsah","non-dropping-particle":"","parse-names":false,"suffix":""}],"container-title":"Jurnal Pengabdian UNDIKMA","id":"ITEM-1","issue":"2","issued":{"date-parts":[["2021"]]},"page":"211","title":"Pelatihan Pencegahan Bullying Bagi Organisasi Kemahasiswaan di Universitas Muhammadiyah Mataram","type":"article-journal","volume":"2"},"uris":["http://www.mendeley.com/documents/?uuid=4e84ebfc-9e65-4b94-808c-d784df4922f6"]}],"mendeley":{"formattedCitation":"Abdul Sakban, Maemunah Maemunah, and Hafsah Hafsah, “Pelatihan Pencegahan Bullying Bagi Organisasi Kemahasiswaan Di Universitas Muhammadiyah Mataram,” &lt;i&gt;Jurnal Pengabdian UNDIKMA&lt;/i&gt; 2, no. 2 (2021): 211, https://doi.org/10.33394/jpu.v2i2.3893.","plainTextFormattedCitation":"Abdul Sakban, Maemunah Maemunah, and Hafsah Hafsah, “Pelatihan Pencegahan Bullying Bagi Organisasi Kemahasiswaan Di Universitas Muhammadiyah Mataram,” Jurnal Pengabdian UNDIKMA 2, no. 2 (2021): 211, https://doi.org/10.33394/jpu.v2i2.3893.","previouslyFormattedCitation":"(Sakban, Maemunah, and Hafsah 2021)"},"properties":{"noteIndex":18},"schema":"https://github.com/citation-style-language/schema/raw/master/csl-citation.json"}</w:instrText>
      </w:r>
      <w:r>
        <w:fldChar w:fldCharType="separate"/>
      </w:r>
      <w:r w:rsidRPr="004E229A">
        <w:rPr>
          <w:noProof/>
        </w:rPr>
        <w:t xml:space="preserve">Abdul Sakban, Maemunah Maemunah, and Hafsah Hafsah, “Pelatihan Pencegahan Bullying Bagi Organisasi Kemahasiswaan Di Universitas Muhammadiyah Mataram,” </w:t>
      </w:r>
      <w:r w:rsidRPr="004E229A">
        <w:rPr>
          <w:i/>
          <w:noProof/>
        </w:rPr>
        <w:t>Jurnal Pengabdian UNDIKMA</w:t>
      </w:r>
      <w:r w:rsidRPr="004E229A">
        <w:rPr>
          <w:noProof/>
        </w:rPr>
        <w:t xml:space="preserve"> 2, no. 2 (2021): 211, https://doi.org/10.33394/jpu.v2i2.3893.</w:t>
      </w:r>
      <w:r>
        <w:fldChar w:fldCharType="end"/>
      </w:r>
    </w:p>
  </w:footnote>
  <w:footnote w:id="19">
    <w:p w14:paraId="66963B14" w14:textId="12647543" w:rsidR="004E229A" w:rsidRPr="00A96093" w:rsidRDefault="004E229A" w:rsidP="00A96093">
      <w:pPr>
        <w:pStyle w:val="FootnoteText"/>
        <w:spacing w:line="276" w:lineRule="auto"/>
        <w:rPr>
          <w:rFonts w:ascii="Palatino Linotype" w:hAnsi="Palatino Linotype"/>
        </w:rPr>
      </w:pPr>
      <w:r w:rsidRPr="00A96093">
        <w:rPr>
          <w:rStyle w:val="FootnoteReference"/>
          <w:rFonts w:ascii="Palatino Linotype" w:hAnsi="Palatino Linotype"/>
        </w:rPr>
        <w:footnoteRef/>
      </w:r>
      <w:r w:rsidRPr="00A96093">
        <w:rPr>
          <w:rFonts w:ascii="Palatino Linotype" w:hAnsi="Palatino Linotype"/>
        </w:rP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{"citationItems":[{"id":"ITEM-1","itemData":{"abstract":"… pembinaan akhlak remaja untuk menghadapi pengaruh … pendidikan akhlak yang baik, mengajak kepada pendidikan … karena mereka lebih mengedepankan media sosial. Tidak dapat …","author":[{"dropping-particle":"","family":"Mala","given":"U","non-dropping-particle":"","parse-names":false,"suffix":""}],"container-title":"Al-Mau'izhah: Jurnal Bimbingan dan Penyuluhan …","id":"ITEM-1","issue":"2","issued":{"date-parts":[["2022"]]},"title":"Peranan Bimbingan Penyuluhan Islam Terhadap Pembinaan Akhlak Remaja Kel. Benteng Kec. Patampanua Kab. Pinrang","type":"article-journal","volume":"4"},"uris":["http://www.mendeley.com/documents/?uuid=84e5757b-0d5a-49e1-8967-31a951a951dd"]}],"mendeley":{"formattedCitation":"U Mala, “Peranan Bimbingan Penyuluhan Islam Terhadap Pembinaan Akhlak Remaja Kel. Benteng Kec. Patampanua Kab. Pinrang,” &lt;i&gt;Al-Mau’izhah: Jurnal Bimbingan Dan Penyuluhan …&lt;/i&gt; 4, no. 2 (2022), https://www.jurnal.umpar.ac.id/index.php/mauizhah/article/view/2220.","plainTextFormattedCitation":"U Mala, “Peranan Bimbingan Penyuluhan Islam Terhadap Pembinaan Akhlak Remaja Kel. Benteng Kec. Patampanua Kab. Pinrang,” Al-Mau’izhah: Jurnal Bimbingan Dan Penyuluhan … 4, no. 2 (2022), https://www.jurnal.umpar.ac.id/index.php/mauizhah/article/view/2220.","previouslyFormattedCitation":"(Mala 2022)"},"properties":{"noteIndex":19},"schema":"https://github.com/citation-style-language/schema/raw/master/csl-citation.json"}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U Mala, “Peranan Bimbingan Penyuluhan Islam Terhadap Pembinaan Akhlak Remaja Kel. Benteng Kec. Patampanua Kab. Pinrang,” </w:t>
      </w:r>
      <w:r w:rsidRPr="00A96093">
        <w:rPr>
          <w:rFonts w:ascii="Palatino Linotype" w:hAnsi="Palatino Linotype"/>
          <w:i/>
          <w:noProof/>
        </w:rPr>
        <w:t>Al-Mau’izhah: Jurnal Bimbingan Dan Penyuluhan …</w:t>
      </w:r>
      <w:r w:rsidRPr="00A96093">
        <w:rPr>
          <w:rFonts w:ascii="Palatino Linotype" w:hAnsi="Palatino Linotype"/>
          <w:noProof/>
        </w:rPr>
        <w:t xml:space="preserve"> 4, no. 2 (2022), https://www.jurnal.umpar.ac.id/index.php/mauizhah/article/view/2220.</w:t>
      </w:r>
      <w:r w:rsidRPr="00A96093">
        <w:rPr>
          <w:rFonts w:ascii="Palatino Linotype" w:hAnsi="Palatino Linotype"/>
        </w:rPr>
        <w:fldChar w:fldCharType="end"/>
      </w:r>
    </w:p>
  </w:footnote>
  <w:footnote w:id="20">
    <w:p w14:paraId="449962E3" w14:textId="0AEAE400" w:rsidR="004E229A" w:rsidRPr="00A96093" w:rsidRDefault="004E229A" w:rsidP="00A96093">
      <w:pPr>
        <w:pStyle w:val="FootnoteText"/>
        <w:spacing w:line="276" w:lineRule="auto"/>
        <w:rPr>
          <w:rFonts w:ascii="Palatino Linotype" w:hAnsi="Palatino Linotype"/>
        </w:rPr>
      </w:pPr>
      <w:r w:rsidRPr="00A96093">
        <w:rPr>
          <w:rStyle w:val="FootnoteReference"/>
          <w:rFonts w:ascii="Palatino Linotype" w:hAnsi="Palatino Linotype"/>
        </w:rPr>
        <w:footnoteRef/>
      </w:r>
      <w:r w:rsidRPr="00A96093">
        <w:rPr>
          <w:rFonts w:ascii="Palatino Linotype" w:hAnsi="Palatino Linotype"/>
        </w:rP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{"citationItems":[{"id":"ITEM-1","itemData":{"abstract":"eserta Didik Di Madrasah Aliyah Negeri (MAN 2) Parepare. (Dibimbing oleh Muhammad Jufri dan Muhammad Haramain) Penelitian ini bertujuan untuk mengetahui upaya guru bimbingsn konseling dalam mengatasi kenakalan remaja yang terjadi di Madrasah Aliyah Negeri (MAN) 2 Kota Parepare beserta bentuk-bentuk dan faktor faktor yang mempengaruhi kenakalan remaja. Penelitian ini menggunakan metode kualitatif dan teknik pengumpulan data yang digunakan, yaitu observasi, wawancaraa dan dokumentasi. Jumlah narasumber dalam penelitian ini yaitu sebanyak 16 orang. Adapun teknik analisis data yang digunakan, yaitu analisis data kualitatif model interaktif dari Miles dan Huberman yang terdiri dari: Reduksi data, penyajian data, penarikan kesimpulan dan teknik keabsahan data. Hasil dari penelitian ini menunjukkan bahwa bentuk-bentuk kenakalan remaja yang sering dilakukan yaitu: berkelahi, membolos, membullying, Terlambat datang di sekolah dan Membuat akun palsu atas nama orang lain. Faktor penyebab terjadinya kenakalan yaitu dari tingkah lakunya baik internal maupun eksternal. Teori pembelajaran sosial ini menekankan pada perilaku manusia dipengaruhi oleh lingkungan sekitar. Upaya untuk menangani peserta didik yang melakukan kenakalan yaitu dengan melakukan tindakan preventif karena dengan tindakan ini berpengaruh dengan kenakalan remaja. Tindakan preventif ini dilakukan dengan memberikan pengarahan-pengarahan kepada peserta didik dan memberikan bimbingan antisipasi supaya tidak melakukan hal yang tidak diinginkan baik yang sudah terlanjur melakukan pelanggaran maupun yang belum. Upaya yang dilakukan oleh guru yang dimulai dari kerjasama dari beberapa pihak, yaitu guru, orang tua, dan masyarakat sekitar. Teori yang digunakan dalam penelitian ini adalah teori Sosiogenis, dimana teori ini mencoba mencari informasi pada penyebab kenakalan remaja yang menjadi delinkuen. Kenakalan remaja harus diatasi dikarenakan dapat berdampak pada tingkah laku untuk kedepannya. Kata","author":[{"dropping-particle":"","family":"Rika Widianita","given":"Dkk","non-dropping-particle":"","parse-names":false,"suffix":""}],"container-title":"AT-TAWASSUTH: Jurnal Ekonomi Islam","id":"ITEM-1","issue":"I","issued":{"date-parts":[["2023"]]},"page":"1-19","title":"UPAYA GURU BIMBINGAN KONSELING DALAM MENGATASI KENAKALAN REMAJA PADA PESERTA DIDIK MADRASAH ALIYAH NEGERI (MAN) 2 KOTA PAREPARE","type":"article-journal","volume":"VIII"},"uris":["http://www.mendeley.com/documents/?uuid=96b0df45-ac5d-4f7e-b158-83b5e6cc5a0a"]}],"mendeley":{"formattedCitation":"Dkk Rika Widianita, “UPAYA GURU BIMBINGAN KONSELING DALAM MENGATASI KENAKALAN REMAJA PADA PESERTA DIDIK MADRASAH ALIYAH NEGERI (MAN) 2 KOTA PAREPARE,” &lt;i&gt;AT-TAWASSUTH: Jurnal Ekonomi Islam&lt;/i&gt; VIII, no. I (2023): 1–19.","plainTextFormattedCitation":"Dkk Rika Widianita, “UPAYA GURU BIMBINGAN KONSELING DALAM MENGATASI KENAKALAN REMAJA PADA PESERTA DIDIK MADRASAH ALIYAH NEGERI (MAN) 2 KOTA PAREPARE,” AT-TAWASSUTH: Jurnal Ekonomi Islam VIII, no. I (2023): 1–19.","previouslyFormattedCitation":"(Rika Widianita 2023b)"},"properties":{"noteIndex":20},"schema":"https://github.com/citation-style-language/schema/raw/master/csl-citation.json"}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Dkk Rika Widianita, “UPAYA GURU BIMBINGAN KONSELING DALAM MENGATASI KENAKALAN REMAJA PADA PESERTA DIDIK MADRASAH ALIYAH NEGERI (MAN) 2 KOTA PAREPARE,” </w:t>
      </w:r>
      <w:r w:rsidRPr="00A96093">
        <w:rPr>
          <w:rFonts w:ascii="Palatino Linotype" w:hAnsi="Palatino Linotype"/>
          <w:i/>
          <w:noProof/>
        </w:rPr>
        <w:t>AT-TAWASSUTH: Jurnal Ekonomi Islam</w:t>
      </w:r>
      <w:r w:rsidRPr="00A96093">
        <w:rPr>
          <w:rFonts w:ascii="Palatino Linotype" w:hAnsi="Palatino Linotype"/>
          <w:noProof/>
        </w:rPr>
        <w:t xml:space="preserve"> VIII, no. I (2023): 1–19.</w:t>
      </w:r>
      <w:r w:rsidRPr="00A96093">
        <w:rPr>
          <w:rFonts w:ascii="Palatino Linotype" w:hAnsi="Palatino Linotype"/>
        </w:rPr>
        <w:fldChar w:fldCharType="end"/>
      </w:r>
    </w:p>
  </w:footnote>
  <w:footnote w:id="21">
    <w:p w14:paraId="4E11B785" w14:textId="4495EAF4" w:rsidR="004E229A" w:rsidRPr="00A96093" w:rsidRDefault="004E229A" w:rsidP="00A96093">
      <w:pPr>
        <w:pStyle w:val="FootnoteText"/>
        <w:spacing w:afterAutospacing="0" w:line="276" w:lineRule="auto"/>
        <w:rPr>
          <w:rFonts w:ascii="Palatino Linotype" w:hAnsi="Palatino Linotype"/>
        </w:rPr>
      </w:pPr>
      <w:r>
        <w:rPr>
          <w:rStyle w:val="FootnoteReference"/>
        </w:rPr>
        <w:footnoteRef/>
      </w:r>
      <w: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{"citationItems":[{"id":"ITEM-1","itemData":{"abstract":"Penelitian mengenai layanan bimbingan dan konseling islam dalam\npemulihan kesehatan mental bagi anak korban kekerasan di pusat pelayanan\nterpadu pemberdayaan perempuan dan anak bertujuan untuk mengetahui upaya\npemulihan kesehatan mental (psikososial) bagi anak korban kekerasan yang\ndilakukan di Pusat Pelayanan. Jenis penelitian ini adalah penelitian kualitatif\ndengan pendekatan bimbingan dan psikologi. Sumber data primer dan data\nsekunder adalah bahan pustaka, kajian dari penelitian terdahulu, artikel-artikel.\nSelanjutnya metode pengumpulan data yang digunakan adalah observasi,\nwawancara, dan dokumentasi. Teknik pengolahan data dan analisis data dilakukan\ndengan melalui tiga tahapan yaitu reduksi data, penyajian data dan penarikan\nkesimpulan.\nHasil penelitian menunjukkan bahwa upaya yang dilakukan petugas\nP2TP2A dalam pemulihan kesehatan mental bagi anak korban kekerasan adalah\ndengan melakukan bimbingan dan konseling individual, bimbingan konseling\nkeluarga dan bimbingan konseling pasca trauma.","author":[{"dropping-particle":"","family":"Muh. Ilham","given":"Nurwalidah Noviyanti","non-dropping-particle":"","parse-names":false,"suffix":""}],"container-title":"Jurnal Mimbar Kesejahteraan Sosial","id":"ITEM-1","issued":{"date-parts":[["2020"]]},"page":"2655-7320","title":"Layanan Bimbingan Konseling Islam Dalam Pemulihan\nKesehatan Mental Bagi Anak Korban Kekerasan\nDi Pusat Pelayanan Terpadu Pemberdayaan\nPerempuan Dan Anak Kabupaten Gowa","type":"article-journal","volume":"3"},"uris":["http://www.mendeley.com/documents/?uuid=d78dc357-df4a-4e79-a97c-e2a42adce0f4"]}],"mendeley":{"formattedCitation":"Muh. Ilham, “Layanan Bimbingan Konseling Islam Dalam Pemulihan Mental Bagi Anak Korban Kekerasan Pusat Pelayanan Terpadu Pemberdayaan Dan Anak Kabupaten Gowa.”","plainTextFormattedCitation":"Muh. Ilham, “Layanan Bimbingan Konseling Islam Dalam Pemulihan Mental Bagi Anak Korban Kekerasan Pusat Pelayanan Terpadu Pemberdayaan Dan Anak Kabupaten Gowa.”","previouslyFormattedCitation":"(Muh. Ilham 2020)"},"properties":{"noteIndex":21},"schema":"https://github.com/citation-style-language/schema/raw/master/csl-citation.json"}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Muh. Ilham, “Layanan Bimbingan Konseling Islam Dalam Pemulihan Mental Bagi Anak Korban Kekerasan Pusat Pelayanan Terpadu Pemberdayaan Dan Anak Kabupaten Gowa.”</w:t>
      </w:r>
      <w:r w:rsidRPr="00A96093">
        <w:rPr>
          <w:rFonts w:ascii="Palatino Linotype" w:hAnsi="Palatino Linotype"/>
        </w:rPr>
        <w:fldChar w:fldCharType="end"/>
      </w:r>
    </w:p>
  </w:footnote>
  <w:footnote w:id="22">
    <w:p w14:paraId="56ECF034" w14:textId="5A23649B" w:rsidR="004E229A" w:rsidRPr="00A96093" w:rsidRDefault="004E229A" w:rsidP="00A96093">
      <w:pPr>
        <w:pStyle w:val="FootnoteText"/>
        <w:spacing w:afterAutospacing="0" w:line="276" w:lineRule="auto"/>
        <w:rPr>
          <w:rFonts w:ascii="Palatino Linotype" w:hAnsi="Palatino Linotype"/>
        </w:rPr>
      </w:pPr>
      <w:r w:rsidRPr="00A96093">
        <w:rPr>
          <w:rStyle w:val="FootnoteReference"/>
          <w:rFonts w:ascii="Palatino Linotype" w:hAnsi="Palatino Linotype"/>
        </w:rPr>
        <w:footnoteRef/>
      </w:r>
      <w:r w:rsidRPr="00A96093">
        <w:rPr>
          <w:rFonts w:ascii="Palatino Linotype" w:hAnsi="Palatino Linotype"/>
        </w:rP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{"citationItems":[{"id":"ITEM-1","itemData":{"ISBN":"9788490225370","abstract":"Kepekaan sosial (social awareness) dapat diartikan sebagai tindakan seseorang untuk menanggapi secara cepat dan tepat terhadap objek atau situasi sosial yang ada dilingkungan sekitar. Di era modern ini kepekaan sosial (social awareness) yang dimiliki individu rendah. Peneliti tertarik ingin meneliti lebih dalam mengenai social awareness pada kalangan mahasiswa Bimbingan Penyuluhan Islam IAIN Ponorogo. Berdasarkan latar belakang masalah diatas, penelitian ini bertujuan untuk menemukan (1) bagaimana kondisi social awareness mahasiswa Bimbingan Penyuluhan Islam IAIN Ponorogo dan (2) bagaimana peran Komunitas Ngaji Pramonorogo terhadap social awareness mahasiswa Bimbingan Penyuluhan Islam. Penelitian ini menggunakan pendekatan deskriptif kualitatif. Teknik pengumpulan data yang digunakan yaitu melalui observasi, wawancara, dan dokumentasi. Untuk teknis analisis data dengan menggunakan reduksi data, penyajian data, dan penarikan kesimpulan. Penelitian ini menggunakan metode kualitatif deskriptif, penentuan lima informan dalam penelitian ini menggunakan purposive sampling. Hasil penelitian ini menunjukkan bahwa kondisi social awareness mahasiswa Bimbingan Penyuluhan Islam IAIN Ponorogo terbilang rendah seperti mahasiswa yang malas dalam mengikuti kegiatan penting di kampus dikarenakan sibuk kepentingan pribadi, sehingga mengabaikan kewajiban sebagai mahasiswa dan kurang peduli terhadap sekitar. Peran Komunitas Ngaji Pramonorogo terhadap social awareness mahasiswa Bimbingan Penyuluhan Islam ialah menambah wawasan khususnya mengenai social awareness bagi mahasiswa, solidaritas yang tinggi, interaksi sosial yang lebih baik, empati, menjadi pribadi yang lebih baik serta merekatkan persaudaraan. 1","author":[{"dropping-particle":"","family":"Beno","given":"J","non-dropping-particle":"","parse-names":false,"suffix":""},{"dropping-particle":"","family":"Silen","given":"A.P","non-dropping-particle":"","parse-names":false,"suffix":""},{"dropping-particle":"","family":"Yanti","given":"M","non-dropping-particle":"","parse-names":false,"suffix":""}],"container-title":"Braz Dent J.","id":"ITEM-1","issue":"1","issued":{"date-parts":[["2022"]]},"page":"1-12","title":"PENINGKATAN SOCIAL AWARENESS MAHASISWA BIMBINGAN PENYULUHAN ISLAM IAIN PONOROGO MELALUI KOMUNITAS NGAJI PRAMONOROGO","type":"article-journal","volume":"33"},"uris":["http://www.mendeley.com/documents/?uuid=db43e806-6cc3-4c99-8170-e86efcc0ad9b"]}],"mendeley":{"formattedCitation":"J Beno, A.P Silen, and M Yanti, “PENINGKATAN SOCIAL AWARENESS MAHASISWA BIMBINGAN PENYULUHAN ISLAM IAIN PONOROGO MELALUI KOMUNITAS NGAJI PRAMONOROGO,” &lt;i&gt;Braz Dent J.&lt;/i&gt; 33, no. 1 (2022): 1–12.","plainTextFormattedCitation":"J Beno, A.P Silen, and M Yanti, “PENINGKATAN SOCIAL AWARENESS MAHASISWA BIMBINGAN PENYULUHAN ISLAM IAIN PONOROGO MELALUI KOMUNITAS NGAJI PRAMONOROGO,” Braz Dent J. 33, no. 1 (2022): 1–12.","previouslyFormattedCitation":"(Beno, Silen, and Yanti 2022)"},"properties":{"noteIndex":22},"schema":"https://github.com/citation-style-language/schema/raw/master/csl-citation.json"}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J Beno, A.P Silen, and M Yanti, “PENINGKATAN SOCIAL AWARENESS MAHASISWA BIMBINGAN PENYULUHAN ISLAM IAIN PONOROGO MELALUI KOMUNITAS NGAJI PRAMONOROGO,” </w:t>
      </w:r>
      <w:r w:rsidRPr="00A96093">
        <w:rPr>
          <w:rFonts w:ascii="Palatino Linotype" w:hAnsi="Palatino Linotype"/>
          <w:i/>
          <w:noProof/>
        </w:rPr>
        <w:t>Braz Dent J.</w:t>
      </w:r>
      <w:r w:rsidRPr="00A96093">
        <w:rPr>
          <w:rFonts w:ascii="Palatino Linotype" w:hAnsi="Palatino Linotype"/>
          <w:noProof/>
        </w:rPr>
        <w:t xml:space="preserve"> 33, no. 1 (2022): 1–12.</w:t>
      </w:r>
      <w:r w:rsidRPr="00A96093">
        <w:rPr>
          <w:rFonts w:ascii="Palatino Linotype" w:hAnsi="Palatino Linotype"/>
        </w:rPr>
        <w:fldChar w:fldCharType="end"/>
      </w:r>
    </w:p>
  </w:footnote>
  <w:footnote w:id="23">
    <w:p w14:paraId="35A30244" w14:textId="47499A25" w:rsidR="004E229A" w:rsidRDefault="004E229A" w:rsidP="00A96093">
      <w:pPr>
        <w:pStyle w:val="FootnoteText"/>
        <w:spacing w:afterAutospacing="0" w:line="276" w:lineRule="auto"/>
      </w:pPr>
      <w:r w:rsidRPr="00A96093">
        <w:rPr>
          <w:rStyle w:val="FootnoteReference"/>
          <w:rFonts w:ascii="Palatino Linotype" w:hAnsi="Palatino Linotype"/>
        </w:rPr>
        <w:footnoteRef/>
      </w:r>
      <w:r w:rsidRPr="00A96093">
        <w:rPr>
          <w:rFonts w:ascii="Palatino Linotype" w:hAnsi="Palatino Linotype"/>
        </w:rP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{"citationItems":[{"id":"ITEM-1","itemData":{"abstract":"… tumbuh kembang anak. Secara khusus korban yang diteliti … Akibat perceraian juga akan dirasakan oleh anak terutama … Dampak yang dirasakan anak dalam kekerasan ini, anak yang …","author":[{"dropping-particle":"","family":"PUTRI","given":"ANGGI PRATAMA","non-dropping-particle":"","parse-names":false,"suffix":""}],"id":"ITEM-1","issue":"4596","issued":{"date-parts":[["2021"]]},"page":"1-78","title":"Pelaksanaan Bimbingan Konseling Islam Terhadap Anak Korban Kekerasan Psikis Di Balai Rehabilitasi Sosial Anak Memerlukan Perlindungan Khusus (Brsampk) Rumbai","type":"article-journal"},"uris":["http://www.mendeley.com/documents/?uuid=dae9f148-3ff5-4b53-b8b5-f9180bfaef59"]}],"mendeley":{"formattedCitation":"ANGGI PRATAMA PUTRI, “Pelaksanaan Bimbingan Konseling Islam Terhadap Anak Korban Kekerasan Psikis Di Balai Rehabilitasi Sosial Anak Memerlukan Perlindungan Khusus (Brsampk) Rumbai,” no. 4596 (2021): 1–78.","plainTextFormattedCitation":"ANGGI PRATAMA PUTRI, “Pelaksanaan Bimbingan Konseling Islam Terhadap Anak Korban Kekerasan Psikis Di Balai Rehabilitasi Sosial Anak Memerlukan Perlindungan Khusus (Brsampk) Rumbai,” no. 4596 (2021): 1–78.","previouslyFormattedCitation":"(PUTRI 2021)"},"properties":{"noteIndex":23},"schema":"https://github.com/citation-style-language/schema/raw/master/csl-citation.json"}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ANGGI PRATAMA PUTRI, “Pelaksanaan Bimbingan Konseling Islam Terhadap Anak Korban Kekerasan Psikis Di Balai Rehabilitasi Sosial Anak Memerlukan Perlindungan Khusus (Brsampk) Rumbai,” no. 4596 (2021): 1–78.</w:t>
      </w:r>
      <w:r w:rsidRPr="00A96093">
        <w:rPr>
          <w:rFonts w:ascii="Palatino Linotype" w:hAnsi="Palatino Linotype"/>
        </w:rPr>
        <w:fldChar w:fldCharType="end"/>
      </w:r>
    </w:p>
  </w:footnote>
  <w:footnote w:id="24">
    <w:p w14:paraId="3C9512FD" w14:textId="33DC21E3" w:rsidR="004E229A" w:rsidRPr="00A96093" w:rsidRDefault="004E229A" w:rsidP="00A96093">
      <w:pPr>
        <w:pStyle w:val="FootnoteText"/>
        <w:spacing w:afterAutospacing="0" w:line="276" w:lineRule="auto"/>
        <w:rPr>
          <w:rFonts w:ascii="Palatino Linotype" w:hAnsi="Palatino Linotype"/>
        </w:rPr>
      </w:pPr>
      <w:r>
        <w:rPr>
          <w:rStyle w:val="FootnoteReference"/>
        </w:rPr>
        <w:footnoteRef/>
      </w:r>
      <w: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{"citationItems":[{"id":"ITEM-1","itemData":{"DOI":"10.37064/consilium.v9i1.9579","ISSN":"2338-0608","abstract":"… berbagai ragam kekerasan dalam rumah tangga (KDRT). Saat ini jumlah kekerasan yang … ada kecenderungan terjadi peningkatan kekerasan dalam rumah tangga. Data pengaduan …","author":[{"dropping-particle":"","family":"Haryati","given":"Asti","non-dropping-particle":"","parse-names":false,"suffix":""},{"dropping-particle":"","family":"Herawati","given":"Neti","non-dropping-particle":"","parse-names":false,"suffix":""},{"dropping-particle":"","family":"Soneta","given":"Betaria","non-dropping-particle":"","parse-names":false,"suffix":""},{"dropping-particle":"","family":"Wardani","given":"Sukma","non-dropping-particle":"","parse-names":false,"suffix":""}],"container-title":"Consilium : Berkala Kajian Konseling dan Ilmu Keagamaan","id":"ITEM-1","issue":"1","issued":{"date-parts":[["2022"]]},"page":"1","title":"Upaya Konselor Islami Dalam Penanganan Spiritualitas Pada Korban Trauma Kekerasan Dalam Rumah Tangga","type":"article-journal","volume":"9"},"uris":["http://www.mendeley.com/documents/?uuid=647c3af9-f720-4e12-a209-968cb812b420"]}],"mendeley":{"formattedCitation":"Asti Haryati et al., “Upaya Konselor Islami Dalam Penanganan Spiritualitas Pada Korban Trauma Kekerasan Dalam Rumah Tangga,” &lt;i&gt;Consilium</w:instrText>
      </w:r>
      <w:r w:rsidRPr="00A96093">
        <w:rPr>
          <w:rFonts w:ascii="Times New Roman" w:hAnsi="Times New Roman" w:cs="Times New Roman"/>
        </w:rPr>
        <w:instrText> </w:instrText>
      </w:r>
      <w:r w:rsidRPr="00A96093">
        <w:rPr>
          <w:rFonts w:ascii="Palatino Linotype" w:hAnsi="Palatino Linotype"/>
        </w:rPr>
        <w:instrText>: Berkala Kajian Konseling Dan Ilmu Keagamaan&lt;/i&gt; 9, no. 1 (2022): 1, https://doi.org/10.37064/consilium.v9i1.9579.","plainTextFormattedCitation":"Asti Haryati et al., “Upaya Konselor Islami Dalam Penanganan Spiritualitas Pada Korban Trauma Kekerasan Dalam Rumah Tangga,” Consilium</w:instrText>
      </w:r>
      <w:r w:rsidRPr="00A96093">
        <w:rPr>
          <w:rFonts w:ascii="Times New Roman" w:hAnsi="Times New Roman" w:cs="Times New Roman"/>
        </w:rPr>
        <w:instrText> </w:instrText>
      </w:r>
      <w:r w:rsidRPr="00A96093">
        <w:rPr>
          <w:rFonts w:ascii="Palatino Linotype" w:hAnsi="Palatino Linotype"/>
        </w:rPr>
        <w:instrText>: Berkala Kajian Konseling Dan Ilmu Keagamaan 9, no. 1 (2022): 1, https://doi.org/10.37064/consilium.v9i1.9579.","previouslyFormattedCitation":"(Haryati et al. 2022)"},"properties":{"noteIndex":24},"schema":"https://github.com/citation-style-language/schema/raw/master/csl-citation.json"}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Asti Haryati et al., “Upaya Konselor Islami Dalam Penanganan Spiritualitas Pada Korban Trauma Kekerasan Dalam Rumah Tangga,” </w:t>
      </w:r>
      <w:r w:rsidRPr="00A96093">
        <w:rPr>
          <w:rFonts w:ascii="Palatino Linotype" w:hAnsi="Palatino Linotype"/>
          <w:i/>
          <w:noProof/>
        </w:rPr>
        <w:t>Consilium</w:t>
      </w:r>
      <w:r w:rsidRPr="00A96093">
        <w:rPr>
          <w:rFonts w:ascii="Times New Roman" w:hAnsi="Times New Roman" w:cs="Times New Roman"/>
          <w:i/>
          <w:noProof/>
        </w:rPr>
        <w:t> </w:t>
      </w:r>
      <w:r w:rsidRPr="00A96093">
        <w:rPr>
          <w:rFonts w:ascii="Palatino Linotype" w:hAnsi="Palatino Linotype"/>
          <w:i/>
          <w:noProof/>
        </w:rPr>
        <w:t>: Berkala Kajian Konseling Dan Ilmu Keagamaan</w:t>
      </w:r>
      <w:r w:rsidRPr="00A96093">
        <w:rPr>
          <w:rFonts w:ascii="Palatino Linotype" w:hAnsi="Palatino Linotype"/>
          <w:noProof/>
        </w:rPr>
        <w:t xml:space="preserve"> 9, no. 1 (2022): 1, https://doi.org/10.37064/consilium.v9i1.9579.</w:t>
      </w:r>
      <w:r w:rsidRPr="00A96093">
        <w:rPr>
          <w:rFonts w:ascii="Palatino Linotype" w:hAnsi="Palatino Linotype"/>
        </w:rPr>
        <w:fldChar w:fldCharType="end"/>
      </w:r>
    </w:p>
  </w:footnote>
  <w:footnote w:id="25">
    <w:p w14:paraId="0B2B5B4C" w14:textId="00E8EA4F" w:rsidR="004E229A" w:rsidRDefault="004E229A" w:rsidP="00A96093">
      <w:pPr>
        <w:pStyle w:val="FootnoteText"/>
        <w:spacing w:afterAutospacing="0" w:line="276" w:lineRule="auto"/>
      </w:pPr>
      <w:r w:rsidRPr="00A96093">
        <w:rPr>
          <w:rStyle w:val="FootnoteReference"/>
          <w:rFonts w:ascii="Palatino Linotype" w:hAnsi="Palatino Linotype"/>
        </w:rPr>
        <w:footnoteRef/>
      </w:r>
      <w:r w:rsidRPr="00A96093">
        <w:rPr>
          <w:rFonts w:ascii="Palatino Linotype" w:hAnsi="Palatino Linotype"/>
        </w:rP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{"citationItems":[{"id":"ITEM-1","itemData":{"DOI":"10.29240/jbk.v6i1.3418","ISSN":"2580-3638","abstract":"This study aims to describe the role of cross-cultural counseling as a preventive effort in cases of early marriage. The method used in this study is a qualitative method, with the type of literature study or literature review. Researchers collected various books and articles related to the topic of discussion and then analyzed them. Based on the results of the analysis of the literature review, there are various factors behind early marriage including: 1) education, 2) culture, 3) environment. The findings also reveal that there are two techniques of cross-cultural counseling as an effort to prevent early marriage, including: first, counseling conducts discussions and collaborations in every line of the community sector. Second, the counseling session is accompanied by a counselor with cultural sensitivity competence as a catalyst. Counselors are tasked with educating the public or clients about the importance of preparing for marriage and the impact of early marriage. So cross-cultural counseling as an effort to prevent early marriage is a tool owned by counselors, namely through a cultural approach","author":[{"dropping-particle":"","family":"Kurniawati","given":"Rahmaditta","non-dropping-particle":"","parse-names":false,"suffix":""},{"dropping-particle":"","family":"Sa’adah","given":"Nurus","non-dropping-particle":"","parse-names":false,"suffix":""}],"container-title":"Islamic Counseling : Jurnal Bimbingan Konseling Islam","id":"ITEM-1","issue":"1","issued":{"date-parts":[["2022"]]},"page":"51","title":"Konseling Lintas Budaya: Sebagai Upaya Preventif Pernikahan Dini","type":"article-journal","volume":"6"},"uris":["http://www.mendeley.com/documents/?uuid=e6004209-7056-49ab-8026-dfe7d7589dd6"]}],"mendeley":{"formattedCitation":"Rahmaditta Kurniawati and Nurus Sa’adah, “Konseling Lintas Budaya: Sebagai Upaya Preventif Pernikahan Dini,” &lt;i&gt;Islamic Counseling</w:instrText>
      </w:r>
      <w:r w:rsidRPr="00A96093">
        <w:rPr>
          <w:rFonts w:ascii="Times New Roman" w:hAnsi="Times New Roman" w:cs="Times New Roman"/>
        </w:rPr>
        <w:instrText> </w:instrText>
      </w:r>
      <w:r w:rsidRPr="00A96093">
        <w:rPr>
          <w:rFonts w:ascii="Palatino Linotype" w:hAnsi="Palatino Linotype"/>
        </w:rPr>
        <w:instrText>: Jurnal Bimbingan Konseling Islam&lt;/i&gt; 6, no. 1 (2022): 51, https://doi.org/10.29240/jbk.v6i1.3418.","plainTextFormattedCitation":"Rahmaditta Kurniawati and Nurus Sa’adah, “Konseling Lintas Budaya: Sebagai Upaya Preventif Pernikahan Dini,” Islamic Counseling</w:instrText>
      </w:r>
      <w:r w:rsidRPr="00A96093">
        <w:rPr>
          <w:rFonts w:ascii="Times New Roman" w:hAnsi="Times New Roman" w:cs="Times New Roman"/>
        </w:rPr>
        <w:instrText> </w:instrText>
      </w:r>
      <w:r w:rsidRPr="00A96093">
        <w:rPr>
          <w:rFonts w:ascii="Palatino Linotype" w:hAnsi="Palatino Linotype"/>
        </w:rPr>
        <w:instrText>: Jurnal Bimbingan Konseling Islam 6, no. 1 (2022): 51, https://doi.org/10.29240/jbk.v6i1.3418.","previouslyFormattedCitation":"(Kurniawati and Sa’adah 2022)"},"properties":{"noteIndex":25},"schema":"https://github.com/citation-style-language/schema/raw/master/csl-citation.json"}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Rahmaditta Kurniawati and Nurus Sa’adah, “Konseling Lintas Budaya: Sebagai Upaya Preventif Pernikahan Dini,” </w:t>
      </w:r>
      <w:r w:rsidRPr="00A96093">
        <w:rPr>
          <w:rFonts w:ascii="Palatino Linotype" w:hAnsi="Palatino Linotype"/>
          <w:i/>
          <w:noProof/>
        </w:rPr>
        <w:t>Islamic Counseling</w:t>
      </w:r>
      <w:r w:rsidRPr="00A96093">
        <w:rPr>
          <w:rFonts w:ascii="Times New Roman" w:hAnsi="Times New Roman" w:cs="Times New Roman"/>
          <w:i/>
          <w:noProof/>
        </w:rPr>
        <w:t> </w:t>
      </w:r>
      <w:r w:rsidRPr="00A96093">
        <w:rPr>
          <w:rFonts w:ascii="Palatino Linotype" w:hAnsi="Palatino Linotype"/>
          <w:i/>
          <w:noProof/>
        </w:rPr>
        <w:t>: Jurnal Bimbingan Konseling Islam</w:t>
      </w:r>
      <w:r w:rsidRPr="00A96093">
        <w:rPr>
          <w:rFonts w:ascii="Palatino Linotype" w:hAnsi="Palatino Linotype"/>
          <w:noProof/>
        </w:rPr>
        <w:t xml:space="preserve"> 6, no. 1 (2022): 51, https://doi.org/10.29240/jbk.v6i1.3418.</w:t>
      </w:r>
      <w:r w:rsidRPr="00A96093">
        <w:rPr>
          <w:rFonts w:ascii="Palatino Linotype" w:hAnsi="Palatino Linotype"/>
        </w:rPr>
        <w:fldChar w:fldCharType="end"/>
      </w:r>
    </w:p>
  </w:footnote>
  <w:footnote w:id="26">
    <w:p w14:paraId="392C75B2" w14:textId="38AFB185" w:rsidR="004E229A" w:rsidRPr="00A96093" w:rsidRDefault="004E229A" w:rsidP="00A96093">
      <w:pPr>
        <w:pStyle w:val="FootnoteText"/>
        <w:spacing w:afterAutospacing="0" w:line="276" w:lineRule="auto"/>
        <w:rPr>
          <w:rFonts w:ascii="Palatino Linotype" w:hAnsi="Palatino Linotype"/>
        </w:rPr>
      </w:pPr>
      <w:r>
        <w:rPr>
          <w:rStyle w:val="FootnoteReference"/>
        </w:rPr>
        <w:footnoteRef/>
      </w:r>
      <w: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{"citationItems":[{"id":"ITEM-1","itemData":{"ISSN":"2654-8607","abstract":"Secara umum bimbingan dan konseling islam merupakan salah satu komponen penyelenggaraan pendidikan di sekolah yang keberadaanya sangat dibutuhkan, khususnya untuk membantu individu menjadi pribadi yang mandiri dan berkarakter. karakter …","author":[{"dropping-particle":"","family":"Hadi","given":"Abdul","non-dropping-particle":"","parse-names":false,"suffix":""},{"dropping-particle":"","family":"Laras","given":"Palasara Brahmani","non-dropping-particle":"","parse-names":false,"suffix":""},{"dropping-particle":"","family":"Aryani","given":"Eka","non-dropping-particle":"","parse-names":false,"suffix":""}],"container-title":"KoPeN: Konferensi Pendidikan Nasional","id":"ITEM-1","issue":"1","issued":{"date-parts":[["2020"]]},"page":"316-321","title":"Peran Layanan Bimbingan Dan Konseling Islam Dalam Pendidikan Karakter","type":"article-journal","volume":"2"},"uris":["http://www.mendeley.com/documents/?uuid=959dab97-8b60-4de4-8a88-d73740b694ea"]}],"mendeley":{"formattedCitation":"Abdul Hadi, Palasara Brahmani Laras, and Eka Aryani, “Peran Layanan Bimbingan Dan Konseling Islam Dalam Pendidikan Karakter,” &lt;i&gt;KoPeN: Konferensi Pendidikan Nasional&lt;/i&gt; 2, no. 1 (2020): 316–21.","plainTextFormattedCitation":"Abdul Hadi, Palasara Brahmani Laras, and Eka Aryani, “Peran Layanan Bimbingan Dan Konseling Islam Dalam Pendidikan Karakter,” KoPeN: Konferensi Pendidikan Nasional 2, no. 1 (2020): 316–21.","previouslyFormattedCitation":"(Hadi, Laras, and Aryani 2020)"},"properties":{"noteIndex":26},"schema":"https://github.com/citation-style-language/schema/raw/master/csl-citation.json"}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Abdul Hadi, Palasara Brahmani Laras, and Eka Aryani, “Peran Layanan Bimbingan Dan Konseling Islam Dalam Pendidikan Karakter,” </w:t>
      </w:r>
      <w:r w:rsidRPr="00A96093">
        <w:rPr>
          <w:rFonts w:ascii="Palatino Linotype" w:hAnsi="Palatino Linotype"/>
          <w:i/>
          <w:noProof/>
        </w:rPr>
        <w:t>KoPeN: Konferensi Pendidikan Nasional</w:t>
      </w:r>
      <w:r w:rsidRPr="00A96093">
        <w:rPr>
          <w:rFonts w:ascii="Palatino Linotype" w:hAnsi="Palatino Linotype"/>
          <w:noProof/>
        </w:rPr>
        <w:t xml:space="preserve"> 2, no. 1 (2020): 316–21.</w:t>
      </w:r>
      <w:r w:rsidRPr="00A96093">
        <w:rPr>
          <w:rFonts w:ascii="Palatino Linotype" w:hAnsi="Palatino Linotype"/>
        </w:rPr>
        <w:fldChar w:fldCharType="end"/>
      </w:r>
    </w:p>
  </w:footnote>
  <w:footnote w:id="27">
    <w:p w14:paraId="462614F1" w14:textId="6696C51D" w:rsidR="004E229A" w:rsidRPr="00A96093" w:rsidRDefault="004E229A" w:rsidP="00A96093">
      <w:pPr>
        <w:pStyle w:val="FootnoteText"/>
        <w:spacing w:afterAutospacing="0" w:line="276" w:lineRule="auto"/>
        <w:rPr>
          <w:rFonts w:ascii="Palatino Linotype" w:hAnsi="Palatino Linotype"/>
        </w:rPr>
      </w:pPr>
      <w:r w:rsidRPr="00A96093">
        <w:rPr>
          <w:rStyle w:val="FootnoteReference"/>
          <w:rFonts w:ascii="Palatino Linotype" w:hAnsi="Palatino Linotype"/>
        </w:rPr>
        <w:footnoteRef/>
      </w:r>
      <w:r w:rsidRPr="00A96093">
        <w:rPr>
          <w:rFonts w:ascii="Palatino Linotype" w:hAnsi="Palatino Linotype"/>
        </w:rP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{"citationItems":[{"id":"ITEM-1","itemData":{"DOI":"10.30641/kebijakan.2021.v15.287-304","ISSN":"1978-2292","abstract":"Problematika kekerasan terhadap anak sering terjadi di sekolah, terdapat faktor-faktor yang menyebabkan anak menerima perlakuan berupa kekerasan fisik maupun psikis disekolah sehingga akan diurai berbagai kebijakan non-penal yang dapat diterapkan untuk meminimalisir permasalahan itu. Di sekolah anak sering menjadi objek kekerasan fisik dan psikis, terutama di saat anak melalaikan kewajibannya, atau tidak mematuhi aturan yang ditetapkan di sekolah. Metode penelitian yang digunakan yaitu yuridis normatif. Tujuan penelitian ini yaitu untuk menjawab permasalahan kekerasan terhadap anak yang terjadi di sekolah dengan perspektif hukum. Hasil penelitian menunjukkan bahwa bahwa faktor yang menyebabkan anak menjadi korban kekerasan fisik dan psikis di sekolah dikarenakan anak melakukan kesalahan atau pelanggaran disiplin. Kekerasan dianggap oleh guru sebagai tindakan pendisiplinan anak didik serta mampu menjadikan anak didik yang melakukan pelanggaran disiplin atau kesalahan menyadari kesalahan yang telah dilakukannya dan tidak mengulangi lagi perbuatannya, serta dimaksudkan agar anak didik yang lain, tidak mengikuti melakukan perbuatan yang sama. Rekomendasi dari permasalahan itu, agar berbagai sekolah melakukan langkah preventif terhadap potensi kekerasan pada anak dengan melakukan edukasi kepada guru dan peserta didik.","author":[{"dropping-particle":"","family":"Faisal","given":"Faisal","non-dropping-particle":"","parse-names":false,"suffix":""},{"dropping-particle":"","family":"Simatupang","given":"Nursariani","non-dropping-particle":"","parse-names":false,"suffix":""}],"container-title":"Jurnal Ilmiah Kebijakan Hukum","id":"ITEM-1","issue":"2","issued":{"date-parts":[["2021"]]},"page":"287","title":"Kebijakan Nonpenal dalam Rangka Upaya Preventif Anak sebagai Korban Kekerasan Fisik dan Psikis di Sekolah","type":"article-journal","volume":"15"},"uris":["http://www.mendeley.com/documents/?uuid=22d42792-e30e-4166-aa46-aa3d0959e51f"]}],"mendeley":{"formattedCitation":"Faisal Faisal and Nursariani Simatupang, “Kebijakan Nonpenal Dalam Rangka Upaya Preventif Anak Sebagai Korban Kekerasan Fisik Dan Psikis Di Sekolah,” &lt;i&gt;Jurnal Ilmiah Kebijakan Hukum&lt;/i&gt; 15, no. 2 (2021): 287, https://doi.org/10.30641/kebijakan.2021.v15.287-304.","plainTextFormattedCitation":"Faisal Faisal and Nursariani Simatupang, “Kebijakan Nonpenal Dalam Rangka Upaya Preventif Anak Sebagai Korban Kekerasan Fisik Dan Psikis Di Sekolah,” Jurnal Ilmiah Kebijakan Hukum 15, no. 2 (2021): 287, https://doi.org/10.30641/kebijakan.2021.v15.287-304.","previouslyFormattedCitation":"(Faisal and Simatupang 2021)"},"properties":{"noteIndex":27},"schema":"https://github.com/citation-style-language/schema/raw/master/csl-citation.json"}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Faisal Faisal and Nursariani Simatupang, “Kebijakan Nonpenal Dalam Rangka Upaya Preventif Anak Sebagai Korban Kekerasan Fisik Dan Psikis Di Sekolah,” </w:t>
      </w:r>
      <w:r w:rsidRPr="00A96093">
        <w:rPr>
          <w:rFonts w:ascii="Palatino Linotype" w:hAnsi="Palatino Linotype"/>
          <w:i/>
          <w:noProof/>
        </w:rPr>
        <w:t>Jurnal Ilmiah Kebijakan Hukum</w:t>
      </w:r>
      <w:r w:rsidRPr="00A96093">
        <w:rPr>
          <w:rFonts w:ascii="Palatino Linotype" w:hAnsi="Palatino Linotype"/>
          <w:noProof/>
        </w:rPr>
        <w:t xml:space="preserve"> 15, no. 2 (2021): 287, https://doi.org/10.30641/kebijakan.2021.v15.287-304.</w:t>
      </w:r>
      <w:r w:rsidRPr="00A96093">
        <w:rPr>
          <w:rFonts w:ascii="Palatino Linotype" w:hAnsi="Palatino Linotype"/>
        </w:rPr>
        <w:fldChar w:fldCharType="end"/>
      </w:r>
    </w:p>
  </w:footnote>
  <w:footnote w:id="28">
    <w:p w14:paraId="0744F69F" w14:textId="7C961151" w:rsidR="004E229A" w:rsidRDefault="004E229A" w:rsidP="00A96093">
      <w:pPr>
        <w:pStyle w:val="FootnoteText"/>
        <w:spacing w:afterAutospacing="0" w:line="276" w:lineRule="auto"/>
      </w:pPr>
      <w:r w:rsidRPr="00A96093">
        <w:rPr>
          <w:rStyle w:val="FootnoteReference"/>
          <w:rFonts w:ascii="Palatino Linotype" w:hAnsi="Palatino Linotype"/>
        </w:rPr>
        <w:footnoteRef/>
      </w:r>
      <w:r w:rsidRPr="00A96093">
        <w:rPr>
          <w:rFonts w:ascii="Palatino Linotype" w:hAnsi="Palatino Linotype"/>
        </w:rPr>
        <w:t xml:space="preserve"> </w:t>
      </w:r>
      <w:r w:rsidRPr="00A96093">
        <w:rPr>
          <w:rFonts w:ascii="Palatino Linotype" w:hAnsi="Palatino Linotype"/>
        </w:rPr>
        <w:fldChar w:fldCharType="begin" w:fldLock="1"/>
      </w:r>
      <w:r w:rsidRPr="00A96093">
        <w:rPr>
          <w:rFonts w:ascii="Palatino Linotype" w:hAnsi="Palatino Linotype"/>
        </w:rPr>
        <w:instrText>ADDIN CSL_CITATION {"citationItems":[{"id":"ITEM-1","itemData":{"DOI":"10.37329/cetta.v6i2.2508","abstract":"The adolescent phase is generally considered the most sensitive time in the course of a person's life. Adolescents are particularly vulnerable to the type of negative influences that might lead to antisocial behavior, which we define as behavior that society generally disapproves of. The Islamic Guidance Counseling Organization is a community resource that facilitates open dialogue on pressing social issues, including the epidemic of antisocial behavior among young people. The aim of this study was to test methods used to reduce antisocial behaviour in young people. The authors of the study looked at antisocial behavior from a Muslim worldview. Literature research for this research is qualitative. Qualitative research and data collection in libraries use methods including in-depth interviews, careful record keeping, and careful observation. Based on the findings of this study, antisocial behavior includes actions such as breaking school rules and physically attacking classmates. Personal factors, family factors, school-related factors, and social factors all influence antisocial behavior. The school's action to overcome deviant behavior in these students is first to conduct individual counseling or approach to problematic students, carried out by the Guidance and Counseling (BK) teacher, then communicate to parents and if the student still repeats his actions, the school takes action to be given a parent notification letter (SPO).  ","author":[{"dropping-particle":"","family":"Hidayati","given":"Chusnul","non-dropping-particle":"","parse-names":false,"suffix":""},{"dropping-particle":"","family":"Suryani","given":"Ira","non-dropping-particle":"","parse-names":false,"suffix":""}],"container-title":"Cetta: Jurnal Ilmu Pendidikan","id":"ITEM-1","issue":"2","issued":{"date-parts":[["2023"]]},"page":"359-370","title":"Upaya Pencegahan Perilaku Antisosial dalam Perspektif Pendidikan Islam Melalui Layanan Bimbingan Kelompok di MTS Al Washliyah Medan Krio","type":"article-journal","volume":"6"},"uris":["http://www.mendeley.com/documents/?uuid=14710919-254c-40b5-980e-02a2d01e5742"]}],"mendeley":{"formattedCitation":"Chusnul Hidayati and Ira Suryani, “Upaya Pencegahan Perilaku Antisosial Dalam Perspektif Pendidikan Islam Melalui Layanan Bimbingan Kelompok Di MTS Al Washliyah Medan Krio,” &lt;i&gt;Cetta: Jurnal Ilmu Pendidikan&lt;/i&gt; 6, no. 2 (2023): 359–70, https://doi.org/10.37329/cetta.v6i2.2508.","plainTextFormattedCitation":"Chusnul Hidayati and Ira Suryani, “Upaya Pencegahan Perilaku Antisosial Dalam Perspektif Pendidikan Islam Melalui Layanan Bimbingan Kelompok Di MTS Al Washliyah Medan Krio,” Cetta: Jurnal Ilmu Pendidikan 6, no. 2 (2023): 359–70, https://doi.org/10.37329/cetta.v6i2.2508.","previouslyFormattedCitation":"(Hidayati and Suryani 2023)"},"properties":{"noteIndex":28},"schema":"https://github.com/citation-style-language/schema/raw/master/csl-citation.json"}</w:instrText>
      </w:r>
      <w:r w:rsidRPr="00A96093">
        <w:rPr>
          <w:rFonts w:ascii="Palatino Linotype" w:hAnsi="Palatino Linotype"/>
        </w:rPr>
        <w:fldChar w:fldCharType="separate"/>
      </w:r>
      <w:r w:rsidRPr="00A96093">
        <w:rPr>
          <w:rFonts w:ascii="Palatino Linotype" w:hAnsi="Palatino Linotype"/>
          <w:noProof/>
        </w:rPr>
        <w:t xml:space="preserve">Chusnul Hidayati and Ira Suryani, “Upaya Pencegahan Perilaku Antisosial Dalam Perspektif Pendidikan Islam Melalui Layanan Bimbingan Kelompok Di MTS Al Washliyah Medan Krio,” </w:t>
      </w:r>
      <w:r w:rsidRPr="00A96093">
        <w:rPr>
          <w:rFonts w:ascii="Palatino Linotype" w:hAnsi="Palatino Linotype"/>
          <w:i/>
          <w:noProof/>
        </w:rPr>
        <w:t>Cetta: Jurnal Ilmu Pendidikan</w:t>
      </w:r>
      <w:r w:rsidRPr="00A96093">
        <w:rPr>
          <w:rFonts w:ascii="Palatino Linotype" w:hAnsi="Palatino Linotype"/>
          <w:noProof/>
        </w:rPr>
        <w:t xml:space="preserve"> 6, no. 2 (2023): 359–70, https://doi.org/10.37329/cetta.v6i2.2508.</w:t>
      </w:r>
      <w:r w:rsidRPr="00A96093">
        <w:rPr>
          <w:rFonts w:ascii="Palatino Linotype" w:hAnsi="Palatino Linotype"/>
        </w:rPr>
        <w:fldChar w:fldCharType="end"/>
      </w:r>
    </w:p>
  </w:footnote>
  <w:footnote w:id="29">
    <w:p w14:paraId="42090A27" w14:textId="168E869D" w:rsidR="004E229A" w:rsidRPr="008A7131" w:rsidRDefault="004E229A" w:rsidP="008A7131">
      <w:pPr>
        <w:pStyle w:val="FootnoteText"/>
        <w:spacing w:afterAutospacing="0" w:line="276" w:lineRule="auto"/>
        <w:rPr>
          <w:rFonts w:ascii="Palatino Linotype" w:hAnsi="Palatino Linotype"/>
        </w:rPr>
      </w:pPr>
      <w:r>
        <w:rPr>
          <w:rStyle w:val="FootnoteReference"/>
        </w:rPr>
        <w:footnoteRef/>
      </w:r>
      <w:r>
        <w:t xml:space="preserve"> </w:t>
      </w:r>
      <w:r w:rsidRPr="008A7131">
        <w:rPr>
          <w:rFonts w:ascii="Palatino Linotype" w:hAnsi="Palatino Linotype"/>
        </w:rPr>
        <w:fldChar w:fldCharType="begin" w:fldLock="1"/>
      </w:r>
      <w:r w:rsidRPr="008A7131">
        <w:rPr>
          <w:rFonts w:ascii="Palatino Linotype" w:hAnsi="Palatino Linotype"/>
        </w:rPr>
        <w:instrText>ADDIN CSL_CITATION {"citationItems":[{"id":"ITEM-1","itemData":{"DOI":"10.23917/warta.v26i4.2455","ISSN":"1410-9344","abstract":"Students who are victims of violence at school can experience depression, anxiety, low self-esteem, and even suicide. One way to avoid further confrontation and serious impacts is that students at SMP Negeri 10 Takari need to receive assertive training. The aim is to increase students' self-awareness of the violence they experience, then they can make practical, solution and effective preventif efforts to avoid, dispel, reject and anticipate bad situations through assertive training. The methods used are 1) Assessment Study, 2) Assertive Training with cognitive restructuring strategies, role playing, self talk, relaxation, modeling and 3) Monitoring &amp; Evaluation. The results, 1) as many as 74% (37 students) had low self-concept, self-esteem and self-confidence. Students' attitudes and responses to violence tend to be aggressive and submissive. There are various forms of violence experienced by students. 2) Cognitive restructuring strategies can increase students' understanding and positive self-acceptance. Role playing, self-talk and relaxation activities in groups can minimize aggressive and submissive attitudes to become assertive verbally as well as forming a firm and courageous attitude in determining an assertive attitude. 3) Monitoring and evaluation results show an 11% increase in students' understanding of self-concept, self-esteem and self-confidence. A total of 22 students showed a brave attitude to complain/report, 41 students responded to situations of violence by having the courage to speak out verbally, 20 students also no longer panicked and were anxious but became calmer and did not fight back against the perpetrator but refused and pushed back firmly. Assertiveness training can provide positive self-concept understanding for students to identify various forms of violence and their impacts, as well as being able to apply assertive attitudes appropriately.","author":[{"dropping-particle":"","family":"Salau","given":"Triati","non-dropping-particle":"","parse-names":false,"suffix":""},{"dropping-particle":"","family":"Keo","given":"Glorius Deonatus","non-dropping-particle":"","parse-names":false,"suffix":""},{"dropping-particle":"","family":"Labre","given":"Benediktus","non-dropping-particle":"","parse-names":false,"suffix":""},{"dropping-particle":"","family":"Fanggitasik","given":"Deslien Dolorosa","non-dropping-particle":"","parse-names":false,"suffix":""}],"container-title":"Warta LPM","id":"ITEM-1","issue":"4","issued":{"date-parts":[["2023"]]},"page":"453-461","title":"Pelatihan Asertif Bagi Remaja: Upaya Preventif Tindakan Kekerasan di Sekolah","type":"article-journal","volume":"26"},"uris":["http://www.mendeley.com/documents/?uuid=2c863f09-c326-4bb7-a560-da1e4bbded21"]}],"mendeley":{"formattedCitation":"Triati Salau et al., “Pelatihan Asertif Bagi Remaja: Upaya Preventif Tindakan Kekerasan Di Sekolah,” &lt;i&gt;Warta LPM&lt;/i&gt; 26, no. 4 (2023): 453–61, https://doi.org/10.23917/warta.v26i4.2455.","plainTextFormattedCitation":"Triati Salau et al., “Pelatihan Asertif Bagi Remaja: Upaya Preventif Tindakan Kekerasan Di Sekolah,” Warta LPM 26, no. 4 (2023): 453–61, https://doi.org/10.23917/warta.v26i4.2455.","previouslyFormattedCitation":"(Salau et al. 2023)"},"properties":{"noteIndex":29},"schema":"https://github.com/citation-style-language/schema/raw/master/csl-citation.json"}</w:instrText>
      </w:r>
      <w:r w:rsidRPr="008A7131">
        <w:rPr>
          <w:rFonts w:ascii="Palatino Linotype" w:hAnsi="Palatino Linotype"/>
        </w:rPr>
        <w:fldChar w:fldCharType="separate"/>
      </w:r>
      <w:r w:rsidRPr="008A7131">
        <w:rPr>
          <w:rFonts w:ascii="Palatino Linotype" w:hAnsi="Palatino Linotype"/>
          <w:noProof/>
        </w:rPr>
        <w:t xml:space="preserve">Triati Salau et al., “Pelatihan Asertif Bagi Remaja: Upaya Preventif Tindakan Kekerasan Di Sekolah,” </w:t>
      </w:r>
      <w:r w:rsidRPr="008A7131">
        <w:rPr>
          <w:rFonts w:ascii="Palatino Linotype" w:hAnsi="Palatino Linotype"/>
          <w:i/>
          <w:noProof/>
        </w:rPr>
        <w:t>Warta LPM</w:t>
      </w:r>
      <w:r w:rsidRPr="008A7131">
        <w:rPr>
          <w:rFonts w:ascii="Palatino Linotype" w:hAnsi="Palatino Linotype"/>
          <w:noProof/>
        </w:rPr>
        <w:t xml:space="preserve"> 26, no. 4 (2023): 453–61, https://doi.org/10.23917/warta.v26i4.2455.</w:t>
      </w:r>
      <w:r w:rsidRPr="008A7131">
        <w:rPr>
          <w:rFonts w:ascii="Palatino Linotype" w:hAnsi="Palatino Linotype"/>
        </w:rPr>
        <w:fldChar w:fldCharType="end"/>
      </w:r>
    </w:p>
  </w:footnote>
  <w:footnote w:id="30">
    <w:p w14:paraId="42A5569F" w14:textId="1DDB27CE" w:rsidR="004E229A" w:rsidRPr="008A7131" w:rsidRDefault="004E229A" w:rsidP="008A7131">
      <w:pPr>
        <w:pStyle w:val="FootnoteText"/>
        <w:spacing w:afterAutospacing="0" w:line="276" w:lineRule="auto"/>
        <w:rPr>
          <w:rFonts w:ascii="Palatino Linotype" w:hAnsi="Palatino Linotype"/>
        </w:rPr>
      </w:pPr>
      <w:r w:rsidRPr="008A7131">
        <w:rPr>
          <w:rStyle w:val="FootnoteReference"/>
          <w:rFonts w:ascii="Palatino Linotype" w:hAnsi="Palatino Linotype"/>
        </w:rPr>
        <w:footnoteRef/>
      </w:r>
      <w:r w:rsidRPr="008A7131">
        <w:rPr>
          <w:rFonts w:ascii="Palatino Linotype" w:hAnsi="Palatino Linotype"/>
        </w:rPr>
        <w:t xml:space="preserve"> </w:t>
      </w:r>
      <w:r w:rsidRPr="008A7131">
        <w:rPr>
          <w:rFonts w:ascii="Palatino Linotype" w:hAnsi="Palatino Linotype"/>
        </w:rPr>
        <w:fldChar w:fldCharType="begin" w:fldLock="1"/>
      </w:r>
      <w:r w:rsidRPr="008A7131">
        <w:rPr>
          <w:rFonts w:ascii="Palatino Linotype" w:hAnsi="Palatino Linotype"/>
        </w:rPr>
        <w:instrText>ADDIN CSL_CITATION {"citationItems":[{"id":"ITEM-1","itemData":{"DOI":"10.62159/dawuh.v4i3.1206","abstract":"The aim of this research is to shape and improve the morals of teenagers through Islamic-based counseling. This research was conducted in the city of Bengkulu, because in the city of Bengkulu the morals of teenagers are still very worrying. Data collection techniques use qualitative research carried out through observation, interviews and field research. This research also uses informant identification which will be carried out using a purposive sampling technique, namely identifying informants based on certain criteria.","author":[{"dropping-particle":"","family":"Salsabila","given":"Suci","non-dropping-particle":"","parse-names":false,"suffix":""},{"dropping-particle":"","family":"Junia Vitaloka","given":"Viola","non-dropping-particle":"","parse-names":false,"suffix":""}],"container-title":"DAWUH : Islamic Communication Journal","id":"ITEM-1","issue":"3","issued":{"date-parts":[["2023"]]},"page":"138-143","title":"Peran Bimbingan dan Konseling Islam dalam Meningkatkan Moral Remaja","type":"article-journal","volume":"4"},"uris":["http://www.mendeley.com/documents/?uuid=90ee735a-df95-4ec0-a609-48fcbef9bfbc"]}],"mendeley":{"formattedCitation":"Suci Salsabila and Viola Junia Vitaloka, “Peran Bimbingan Dan Konseling Islam Dalam Meningkatkan Moral Remaja,” &lt;i&gt;DAWUH</w:instrText>
      </w:r>
      <w:r w:rsidRPr="008A7131">
        <w:rPr>
          <w:rFonts w:ascii="Times New Roman" w:hAnsi="Times New Roman" w:cs="Times New Roman"/>
        </w:rPr>
        <w:instrText> </w:instrText>
      </w:r>
      <w:r w:rsidRPr="008A7131">
        <w:rPr>
          <w:rFonts w:ascii="Palatino Linotype" w:hAnsi="Palatino Linotype"/>
        </w:rPr>
        <w:instrText>: Islamic Communication Journal&lt;/i&gt; 4, no. 3 (2023): 138</w:instrText>
      </w:r>
      <w:r w:rsidRPr="008A7131">
        <w:rPr>
          <w:rFonts w:ascii="Palatino Linotype" w:hAnsi="Palatino Linotype" w:cs="Palatino Linotype"/>
        </w:rPr>
        <w:instrText>–</w:instrText>
      </w:r>
      <w:r w:rsidRPr="008A7131">
        <w:rPr>
          <w:rFonts w:ascii="Palatino Linotype" w:hAnsi="Palatino Linotype"/>
        </w:rPr>
        <w:instrText>43, https://doi.org/10.62159/dawuh.v4i3.1206.","plainTextFormattedCitation":"Suci Salsabila and Viola Junia Vitaloka, “Peran Bimbingan Dan Konseling Islam Dalam Meningkatkan Moral Remaja,” DAWUH</w:instrText>
      </w:r>
      <w:r w:rsidRPr="008A7131">
        <w:rPr>
          <w:rFonts w:ascii="Times New Roman" w:hAnsi="Times New Roman" w:cs="Times New Roman"/>
        </w:rPr>
        <w:instrText> </w:instrText>
      </w:r>
      <w:r w:rsidRPr="008A7131">
        <w:rPr>
          <w:rFonts w:ascii="Palatino Linotype" w:hAnsi="Palatino Linotype"/>
        </w:rPr>
        <w:instrText>: Islamic Communication Journal 4, no. 3 (2023): 138</w:instrText>
      </w:r>
      <w:r w:rsidRPr="008A7131">
        <w:rPr>
          <w:rFonts w:ascii="Palatino Linotype" w:hAnsi="Palatino Linotype" w:cs="Palatino Linotype"/>
        </w:rPr>
        <w:instrText>–</w:instrText>
      </w:r>
      <w:r w:rsidRPr="008A7131">
        <w:rPr>
          <w:rFonts w:ascii="Palatino Linotype" w:hAnsi="Palatino Linotype"/>
        </w:rPr>
        <w:instrText>43, https://doi.org/10.62159/dawuh.v4i3.1206.","previouslyFormattedCitation":"(Salsabila and Junia Vitaloka 2023)"},"properties":{"noteIndex":30},"schema":"https://github.com/citation-style-language/schema/raw/master/csl-citation.json"}</w:instrText>
      </w:r>
      <w:r w:rsidRPr="008A7131">
        <w:rPr>
          <w:rFonts w:ascii="Palatino Linotype" w:hAnsi="Palatino Linotype"/>
        </w:rPr>
        <w:fldChar w:fldCharType="separate"/>
      </w:r>
      <w:r w:rsidRPr="008A7131">
        <w:rPr>
          <w:rFonts w:ascii="Palatino Linotype" w:hAnsi="Palatino Linotype"/>
          <w:noProof/>
        </w:rPr>
        <w:t xml:space="preserve">Suci Salsabila and Viola Junia Vitaloka, “Peran Bimbingan Dan Konseling Islam Dalam Meningkatkan Moral Remaja,” </w:t>
      </w:r>
      <w:r w:rsidRPr="008A7131">
        <w:rPr>
          <w:rFonts w:ascii="Palatino Linotype" w:hAnsi="Palatino Linotype"/>
          <w:i/>
          <w:noProof/>
        </w:rPr>
        <w:t>DAWUH</w:t>
      </w:r>
      <w:r w:rsidRPr="008A7131">
        <w:rPr>
          <w:rFonts w:ascii="Times New Roman" w:hAnsi="Times New Roman" w:cs="Times New Roman"/>
          <w:i/>
          <w:noProof/>
        </w:rPr>
        <w:t> </w:t>
      </w:r>
      <w:r w:rsidRPr="008A7131">
        <w:rPr>
          <w:rFonts w:ascii="Palatino Linotype" w:hAnsi="Palatino Linotype"/>
          <w:i/>
          <w:noProof/>
        </w:rPr>
        <w:t>: Islamic Communication Journal</w:t>
      </w:r>
      <w:r w:rsidRPr="008A7131">
        <w:rPr>
          <w:rFonts w:ascii="Palatino Linotype" w:hAnsi="Palatino Linotype"/>
          <w:noProof/>
        </w:rPr>
        <w:t xml:space="preserve"> 4, no. 3 (2023): 138–43, https://doi.org/10.62159/dawuh.v4i3.1206.</w:t>
      </w:r>
      <w:r w:rsidRPr="008A7131">
        <w:rPr>
          <w:rFonts w:ascii="Palatino Linotype" w:hAnsi="Palatino Linotype"/>
        </w:rPr>
        <w:fldChar w:fldCharType="end"/>
      </w:r>
    </w:p>
  </w:footnote>
  <w:footnote w:id="31">
    <w:p w14:paraId="77683E1C" w14:textId="329F2308" w:rsidR="004E229A" w:rsidRPr="008A7131" w:rsidRDefault="004E229A" w:rsidP="008A7131">
      <w:pPr>
        <w:pStyle w:val="FootnoteText"/>
        <w:spacing w:afterAutospacing="0" w:line="276" w:lineRule="auto"/>
        <w:rPr>
          <w:rFonts w:ascii="Palatino Linotype" w:hAnsi="Palatino Linotype"/>
        </w:rPr>
      </w:pPr>
      <w:r w:rsidRPr="008A7131">
        <w:rPr>
          <w:rStyle w:val="FootnoteReference"/>
          <w:rFonts w:ascii="Palatino Linotype" w:hAnsi="Palatino Linotype"/>
        </w:rPr>
        <w:footnoteRef/>
      </w:r>
      <w:r w:rsidRPr="008A7131">
        <w:rPr>
          <w:rFonts w:ascii="Palatino Linotype" w:hAnsi="Palatino Linotype"/>
        </w:rPr>
        <w:t xml:space="preserve"> </w:t>
      </w:r>
      <w:r w:rsidRPr="008A7131">
        <w:rPr>
          <w:rFonts w:ascii="Palatino Linotype" w:hAnsi="Palatino Linotype"/>
        </w:rPr>
        <w:fldChar w:fldCharType="begin" w:fldLock="1"/>
      </w:r>
      <w:r w:rsidRPr="008A7131">
        <w:rPr>
          <w:rFonts w:ascii="Palatino Linotype" w:hAnsi="Palatino Linotype"/>
        </w:rPr>
        <w:instrText>ADDIN CSL_CITATION {"citationItems":[{"id":"ITEM-1","itemData":{"DOI":"10.31004/basicedu.v6i4.3552","ISSN":"2580-3735","abstract":"Penelitian ini bertujuan untuk : 1) mendefinisikan konsep Self-efficacy dalam karakter remaja; 2) mengetahui cara membentuk self-efficacy pada karakter remaja dalam pendidikan agama islam; 2)mengetahui faktor penghambat dan pendukung dari self-efficacy terhadap diri sendiri. Jenis penelitian yang digunakan adalah kualitatif yang bersifat kepustakaan/library research studi ini dilakukan dengan mengumpulkan bahan-bahan yang berkaitan dengan penelitian berasal dari buku, jurnal-jurnl ilmuah, literature dan publikasi lain yang layak yang akan di teliti oleh penulis, dengan cara mendeskripsikan dan menguraikan. Hasil dari penelitian ini mengemukakan persoalan karakter remaja dalam kemampuan untuk memahami diri sendiri. Self-efficay sangat penting dalam mengukur kemampuan untuk memahami diri sendiri. Pendidikan agama islam memberikan kontribusi pada perubahan dan membentuk karakter empati pada remaja. Dalam proses pembentukan pembentukan karakter akan tertanam nilai berdasarkan ajaran Agama Islam.","author":[{"dropping-particle":"","family":"Nissa","given":"Amalia Kholiafatul","non-dropping-particle":"","parse-names":false,"suffix":""},{"dropping-particle":"","family":"Majid","given":"Abdul","non-dropping-particle":"","parse-names":false,"suffix":""},{"dropping-particle":"","family":"Lailiyah","given":"Siti","non-dropping-particle":"","parse-names":false,"suffix":""}],"container-title":"Jurnal Basicedu","id":"ITEM-1","issue":"4","issued":{"date-parts":[["2022"]]},"page":"7526-7531","title":"Konsep Self Efficacy pada Karakter Remaja dalam Pendidikan Agama Islam","type":"article-journal","volume":"6"},"uris":["http://www.mendeley.com/documents/?uuid=acc09228-f73e-46b7-a96a-482d3da91b55"]}],"mendeley":{"formattedCitation":"Amalia Kholiafatul Nissa, Abdul Majid, and Siti Lailiyah, “Konsep Self Efficacy Pada Karakter Remaja Dalam Pendidikan Agama Islam,” &lt;i&gt;Jurnal Basicedu&lt;/i&gt; 6, no. 4 (2022): 7526–31, https://doi.org/10.31004/basicedu.v6i4.3552.","plainTextFormattedCitation":"Amalia Kholiafatul Nissa, Abdul Majid, and Siti Lailiyah, “Konsep Self Efficacy Pada Karakter Remaja Dalam Pendidikan Agama Islam,” Jurnal Basicedu 6, no. 4 (2022): 7526–31, https://doi.org/10.31004/basicedu.v6i4.3552.","previouslyFormattedCitation":"(Nissa, Majid, and Lailiyah 2022)"},"properties":{"noteIndex":31},"schema":"https://github.com/citation-style-language/schema/raw/master/csl-citation.json"}</w:instrText>
      </w:r>
      <w:r w:rsidRPr="008A7131">
        <w:rPr>
          <w:rFonts w:ascii="Palatino Linotype" w:hAnsi="Palatino Linotype"/>
        </w:rPr>
        <w:fldChar w:fldCharType="separate"/>
      </w:r>
      <w:r w:rsidRPr="008A7131">
        <w:rPr>
          <w:rFonts w:ascii="Palatino Linotype" w:hAnsi="Palatino Linotype"/>
          <w:noProof/>
        </w:rPr>
        <w:t xml:space="preserve">Amalia Kholiafatul Nissa, Abdul Majid, and Siti Lailiyah, “Konsep Self Efficacy Pada Karakter Remaja Dalam Pendidikan Agama Islam,” </w:t>
      </w:r>
      <w:r w:rsidRPr="008A7131">
        <w:rPr>
          <w:rFonts w:ascii="Palatino Linotype" w:hAnsi="Palatino Linotype"/>
          <w:i/>
          <w:noProof/>
        </w:rPr>
        <w:t>Jurnal Basicedu</w:t>
      </w:r>
      <w:r w:rsidRPr="008A7131">
        <w:rPr>
          <w:rFonts w:ascii="Palatino Linotype" w:hAnsi="Palatino Linotype"/>
          <w:noProof/>
        </w:rPr>
        <w:t xml:space="preserve"> 6, no. 4 (2022): 7526–31, https://doi.org/10.31004/basicedu.v6i4.3552.</w:t>
      </w:r>
      <w:r w:rsidRPr="008A7131">
        <w:rPr>
          <w:rFonts w:ascii="Palatino Linotype" w:hAnsi="Palatino Linotype"/>
        </w:rPr>
        <w:fldChar w:fldCharType="end"/>
      </w:r>
    </w:p>
  </w:footnote>
  <w:footnote w:id="32">
    <w:p w14:paraId="69BB4B88" w14:textId="3071B280" w:rsidR="004E229A" w:rsidRDefault="004E229A" w:rsidP="008A7131">
      <w:pPr>
        <w:pStyle w:val="FootnoteText"/>
        <w:spacing w:afterAutospacing="0" w:line="276" w:lineRule="auto"/>
      </w:pPr>
      <w:r w:rsidRPr="008A7131">
        <w:rPr>
          <w:rStyle w:val="FootnoteReference"/>
          <w:rFonts w:ascii="Palatino Linotype" w:hAnsi="Palatino Linotype"/>
        </w:rPr>
        <w:footnoteRef/>
      </w:r>
      <w:r w:rsidRPr="008A7131">
        <w:rPr>
          <w:rFonts w:ascii="Palatino Linotype" w:hAnsi="Palatino Linotype"/>
        </w:rPr>
        <w:t xml:space="preserve"> </w:t>
      </w:r>
      <w:r w:rsidRPr="008A7131">
        <w:rPr>
          <w:rFonts w:ascii="Palatino Linotype" w:hAnsi="Palatino Linotype"/>
        </w:rPr>
        <w:fldChar w:fldCharType="begin" w:fldLock="1"/>
      </w:r>
      <w:r w:rsidRPr="008A7131">
        <w:rPr>
          <w:rFonts w:ascii="Palatino Linotype" w:hAnsi="Palatino Linotype"/>
        </w:rPr>
        <w:instrText>ADDIN CSL_CITATION {"citationItems":[{"id":"ITEM-1","itemData":{"DOI":"10.62668/significant.v2i02.921","abstract":"Penelitian ini berjudul Peran Bimbingan Konseling Dan Pendidikan Agama Islam (PAI) : Penerapan Dan Solusi Di MAN 2 Palembang. Masalah utama dalam penelitian ini adalah bagaimana Peran Bimbingan Konseling Dan Pendidikan Agama Islam (PAI) : Penerapan Dan Solusi Di MAN 2 Palembang. Tujuan Penelitian adalah untuk mengetahui Peran Bimbingan Konseling Dan Pendidikan Agama Islam (PAI) : Penerapan Dan Solusi Di MAN 2 Palembang. Bimbingan konseling dan pendidikan agama Islam merupakan dua hal yang saling berhubungan. Apabila nilai yang terkandung dalam Al-Quran dan hadist telah tercapai secara optimal maka individu akan dapat menciptakan hubungan yang baik dengan Allah swt. Dalam mencapai keoptimal an tersebut di butuhkan kerja sama yang baik antara pendidikan agama islam dan bimbingan konseling. Pendidikan agama islam menunjang pengetahuan tentang ilmu keagamaan sedangkan bimbingan konseling bertugass menyempurnakannya dengan membentuk pribadi seseorang dengan memahami dirinya sendiri terlebih dahulu. Adapun artikel ini menggunakan metode penelitian kualitatif yang dilengkapi dengan teknik penelitian beriba observasi dimana penulis mewancarai langsung digabung dengan teknik kepustakaan, penulis mencari dari sumber berupa buku, artikel dan hasil penelitian yang memiliki keterkaitan judul. Pada MAN 2 Palembang terdapat beberapa kegiatan negative yang sering dilakukan oleh siswanya yaitu berupa datang terlambat, menggunakan handphone saat belajar serta membolos jam pelajaran semua hal ini dikarenakan pengaruh kemajuan dari teknologi dan ilmu pengetahuan. Pendidikan agama islam dan bimbingan konseling yang berperan sebagai pemberi arah mengambil keputusan berupa pertama menegur siswa, kedua melakukan pertemuan pribadi kepada siswa, dan terakhir adanya konsultasi bersama wali murid, siswa dan konselor. Cara yang digunakan ini cukup efektif melihat banyaknya perubahan yang terlihat","author":[{"dropping-particle":"","family":"Marlia","given":"Ani","non-dropping-particle":"","parse-names":false,"suffix":""},{"dropping-particle":"","family":"Fadhilah","given":"Nur Ainun","non-dropping-particle":"","parse-names":false,"suffix":""},{"dropping-particle":"","family":"Pertiwi","given":"Monica","non-dropping-particle":"","parse-names":false,"suffix":""},{"dropping-particle":"","family":"Hasan Yusuf","given":"Muhammad","non-dropping-particle":"","parse-names":false,"suffix":""},{"dropping-particle":"","family":"Wulandari","given":"Nova Suci","non-dropping-particle":"","parse-names":false,"suffix":""},{"dropping-particle":"","family":"Sari","given":"Sella Mustika","non-dropping-particle":"","parse-names":false,"suffix":""},{"dropping-particle":"","family":"Pratama S","given":"Muhammad Randi","non-dropping-particle":"","parse-names":false,"suffix":""},{"dropping-particle":"","family":"Ani","given":"Safitri","non-dropping-particle":"","parse-names":false,"suffix":""}],"container-title":"SIGNIFICANT : Journal Of Research And Multidisciplinary","id":"ITEM-1","issue":"02","issued":{"date-parts":[["2023"]]},"page":"312-321","title":"Peran Bimbingan Konseling Dan Pendidikan Agama Islam (Pai) : Penerapan Dan Solusi Di Man 2 Palembang","type":"article-journal","volume":"2"},"uris":["http://www.mendeley.com/documents/?uuid=8f27d17f-a31e-4974-b354-3665b74483aa"]}],"mendeley":{"formattedCitation":"Ani Marlia et al., “Peran Bimbingan Konseling Dan Pendidikan Agama Islam (Pai)</w:instrText>
      </w:r>
      <w:r w:rsidRPr="008A7131">
        <w:rPr>
          <w:rFonts w:ascii="Times New Roman" w:hAnsi="Times New Roman" w:cs="Times New Roman"/>
        </w:rPr>
        <w:instrText> </w:instrText>
      </w:r>
      <w:r w:rsidRPr="008A7131">
        <w:rPr>
          <w:rFonts w:ascii="Palatino Linotype" w:hAnsi="Palatino Linotype"/>
        </w:rPr>
        <w:instrText>: Penerapan Dan Solusi Di Man 2 Palembang,</w:instrText>
      </w:r>
      <w:r w:rsidRPr="008A7131">
        <w:rPr>
          <w:rFonts w:ascii="Palatino Linotype" w:hAnsi="Palatino Linotype" w:cs="Palatino Linotype"/>
        </w:rPr>
        <w:instrText>”</w:instrText>
      </w:r>
      <w:r w:rsidRPr="008A7131">
        <w:rPr>
          <w:rFonts w:ascii="Palatino Linotype" w:hAnsi="Palatino Linotype"/>
        </w:rPr>
        <w:instrText xml:space="preserve"> &lt;i&gt;SIGNIFICANT</w:instrText>
      </w:r>
      <w:r w:rsidRPr="008A7131">
        <w:rPr>
          <w:rFonts w:ascii="Times New Roman" w:hAnsi="Times New Roman" w:cs="Times New Roman"/>
        </w:rPr>
        <w:instrText> </w:instrText>
      </w:r>
      <w:r w:rsidRPr="008A7131">
        <w:rPr>
          <w:rFonts w:ascii="Palatino Linotype" w:hAnsi="Palatino Linotype"/>
        </w:rPr>
        <w:instrText>: Journal Of Research And Multidisciplinary&lt;/i&gt; 2, no. 02 (2023): 312</w:instrText>
      </w:r>
      <w:r w:rsidRPr="008A7131">
        <w:rPr>
          <w:rFonts w:ascii="Palatino Linotype" w:hAnsi="Palatino Linotype" w:cs="Palatino Linotype"/>
        </w:rPr>
        <w:instrText>–</w:instrText>
      </w:r>
      <w:r w:rsidRPr="008A7131">
        <w:rPr>
          <w:rFonts w:ascii="Palatino Linotype" w:hAnsi="Palatino Linotype"/>
        </w:rPr>
        <w:instrText>21, https://doi.org/10.62668/significant.v2i02.921.","plainTextFormattedCitation":"Ani Marlia et al., “Peran Bimbingan Konseling Dan Pendidikan Agama Islam (Pai)</w:instrText>
      </w:r>
      <w:r w:rsidRPr="008A7131">
        <w:rPr>
          <w:rFonts w:ascii="Times New Roman" w:hAnsi="Times New Roman" w:cs="Times New Roman"/>
        </w:rPr>
        <w:instrText> </w:instrText>
      </w:r>
      <w:r w:rsidRPr="008A7131">
        <w:rPr>
          <w:rFonts w:ascii="Palatino Linotype" w:hAnsi="Palatino Linotype"/>
        </w:rPr>
        <w:instrText>: Penerapan Dan Solusi Di Man 2 Palembang,</w:instrText>
      </w:r>
      <w:r w:rsidRPr="008A7131">
        <w:rPr>
          <w:rFonts w:ascii="Palatino Linotype" w:hAnsi="Palatino Linotype" w:cs="Palatino Linotype"/>
        </w:rPr>
        <w:instrText>”</w:instrText>
      </w:r>
      <w:r w:rsidRPr="008A7131">
        <w:rPr>
          <w:rFonts w:ascii="Palatino Linotype" w:hAnsi="Palatino Linotype"/>
        </w:rPr>
        <w:instrText xml:space="preserve"> SIGNIFICANT</w:instrText>
      </w:r>
      <w:r w:rsidRPr="008A7131">
        <w:rPr>
          <w:rFonts w:ascii="Times New Roman" w:hAnsi="Times New Roman" w:cs="Times New Roman"/>
        </w:rPr>
        <w:instrText> </w:instrText>
      </w:r>
      <w:r w:rsidRPr="008A7131">
        <w:rPr>
          <w:rFonts w:ascii="Palatino Linotype" w:hAnsi="Palatino Linotype"/>
        </w:rPr>
        <w:instrText>: Journal Of Research And Multidisciplinary 2, no. 02 (2023): 312</w:instrText>
      </w:r>
      <w:r w:rsidRPr="008A7131">
        <w:rPr>
          <w:rFonts w:ascii="Palatino Linotype" w:hAnsi="Palatino Linotype" w:cs="Palatino Linotype"/>
        </w:rPr>
        <w:instrText>–</w:instrText>
      </w:r>
      <w:r w:rsidRPr="008A7131">
        <w:rPr>
          <w:rFonts w:ascii="Palatino Linotype" w:hAnsi="Palatino Linotype"/>
        </w:rPr>
        <w:instrText>21, https://doi.org/10.62668/significant.v2i02.921.","previouslyFormattedCitation":"(Marlia et al. 2023)"},"properties":{"noteIndex":32},"schema":"https://github.com/citation-style-language/schema/raw/master/csl-citation.json"}</w:instrText>
      </w:r>
      <w:r w:rsidRPr="008A7131">
        <w:rPr>
          <w:rFonts w:ascii="Palatino Linotype" w:hAnsi="Palatino Linotype"/>
        </w:rPr>
        <w:fldChar w:fldCharType="separate"/>
      </w:r>
      <w:r w:rsidRPr="008A7131">
        <w:rPr>
          <w:rFonts w:ascii="Palatino Linotype" w:hAnsi="Palatino Linotype"/>
          <w:noProof/>
        </w:rPr>
        <w:t>Ani Marlia et al., “Peran Bimbingan Konseling Dan Pendidikan Agama Islam (Pai)</w:t>
      </w:r>
      <w:r w:rsidRPr="008A7131">
        <w:rPr>
          <w:rFonts w:ascii="Times New Roman" w:hAnsi="Times New Roman" w:cs="Times New Roman"/>
          <w:noProof/>
        </w:rPr>
        <w:t> </w:t>
      </w:r>
      <w:r w:rsidRPr="008A7131">
        <w:rPr>
          <w:rFonts w:ascii="Palatino Linotype" w:hAnsi="Palatino Linotype"/>
          <w:noProof/>
        </w:rPr>
        <w:t>: Penerapan Dan Solusi Di Man 2 Palembang,</w:t>
      </w:r>
      <w:r w:rsidRPr="008A7131">
        <w:rPr>
          <w:rFonts w:ascii="Palatino Linotype" w:hAnsi="Palatino Linotype" w:cs="Palatino Linotype"/>
          <w:noProof/>
        </w:rPr>
        <w:t>”</w:t>
      </w:r>
      <w:r w:rsidRPr="008A7131">
        <w:rPr>
          <w:rFonts w:ascii="Palatino Linotype" w:hAnsi="Palatino Linotype"/>
          <w:noProof/>
        </w:rPr>
        <w:t xml:space="preserve"> </w:t>
      </w:r>
      <w:r w:rsidRPr="008A7131">
        <w:rPr>
          <w:rFonts w:ascii="Palatino Linotype" w:hAnsi="Palatino Linotype"/>
          <w:i/>
          <w:noProof/>
        </w:rPr>
        <w:t>SIGNIFICANT</w:t>
      </w:r>
      <w:r w:rsidRPr="008A7131">
        <w:rPr>
          <w:rFonts w:ascii="Times New Roman" w:hAnsi="Times New Roman" w:cs="Times New Roman"/>
          <w:i/>
          <w:noProof/>
        </w:rPr>
        <w:t> </w:t>
      </w:r>
      <w:r w:rsidRPr="008A7131">
        <w:rPr>
          <w:rFonts w:ascii="Palatino Linotype" w:hAnsi="Palatino Linotype"/>
          <w:i/>
          <w:noProof/>
        </w:rPr>
        <w:t>: Journal Of Research And Multidisciplinary</w:t>
      </w:r>
      <w:r w:rsidRPr="008A7131">
        <w:rPr>
          <w:rFonts w:ascii="Palatino Linotype" w:hAnsi="Palatino Linotype"/>
          <w:noProof/>
        </w:rPr>
        <w:t xml:space="preserve"> 2, no. 02 (2023): 312–21, https://doi.org/10.62668/significant.v2i02.921.</w:t>
      </w:r>
      <w:r w:rsidRPr="008A7131">
        <w:rPr>
          <w:rFonts w:ascii="Palatino Linotype" w:hAnsi="Palatino Linotype"/>
        </w:rPr>
        <w:fldChar w:fldCharType="end"/>
      </w:r>
    </w:p>
  </w:footnote>
  <w:footnote w:id="33">
    <w:p w14:paraId="3F8625D1" w14:textId="74410D21" w:rsidR="004E229A" w:rsidRPr="008A7131" w:rsidRDefault="004E229A" w:rsidP="008A7131">
      <w:pPr>
        <w:pStyle w:val="FootnoteText"/>
        <w:spacing w:afterAutospacing="0" w:line="276" w:lineRule="auto"/>
        <w:rPr>
          <w:rFonts w:ascii="Palatino Linotype" w:hAnsi="Palatino Linotype"/>
        </w:rPr>
      </w:pPr>
      <w:r>
        <w:rPr>
          <w:rStyle w:val="FootnoteReference"/>
        </w:rPr>
        <w:footnoteRef/>
      </w:r>
      <w:r>
        <w:t xml:space="preserve"> </w:t>
      </w:r>
      <w:r w:rsidRPr="008A7131">
        <w:rPr>
          <w:rFonts w:ascii="Palatino Linotype" w:hAnsi="Palatino Linotype"/>
        </w:rPr>
        <w:fldChar w:fldCharType="begin" w:fldLock="1"/>
      </w:r>
      <w:r w:rsidRPr="008A7131">
        <w:rPr>
          <w:rFonts w:ascii="Palatino Linotype" w:hAnsi="Palatino Linotype"/>
        </w:rPr>
        <w:instrText>ADDIN CSL_CITATION {"citationItems":[{"id":"ITEM-1","itemData":{"DOI":"10.15548/jk.v11i1.379","ISSN":"2356-0894","abstract":"Prevention and handling of sexual violence in universities is an important things needed. This is related to the high number of cases of sexual violence in universities. Meanwhile, there is no significant implementation of cases of sexual violence in universities. This paper is in order to answer the void regarding the prevention and handling system of sexual violence on campus through regulations and policies implemented by universities. This paper is based on the result of research at the Walisongo Islamic State University in Semarang using descriptive qualitative methods which in extracting data using focus group discussion (FDG), in-depth interviews, and document studies. The results of the study show that: first, the code of ethics becomes an alternative regulation for handling sexual violence on campus as long as there is no regulation on handling sexual violence, although in fact the code of ethics does not contain comprehensively regarding the prosecution of sexual violence cases on campus. Second, campus-owned service institutions that can be used to assist victims of sexual violence are still not optimal and have not been well integrated with the center for gender and child studies (PSGA). Third, the facilities, infrastructure, and space on campus have not supported the creation of a friendly campus with a gender perspective. Fourth, cooperation between leaders and stakeholders in the campus environment is important in creating a campus that is friendly and safe from sexual violence. From these results it can be concluded that in order to create a campus that is safe from sexual violence, an integral effort is needed, both from the leadership commitment, the performance of each unit, as well as public awareness in the campus environmen","author":[{"dropping-particle":"","family":"Marfu'ah","given":"Usfiyatul","non-dropping-particle":"","parse-names":false,"suffix":""},{"dropping-particle":"","family":"Rofi'ah","given":"Siti","non-dropping-particle":"","parse-names":false,"suffix":""},{"dropping-particle":"","family":"Maksun","given":"Maksun","non-dropping-particle":"","parse-names":false,"suffix":""}],"container-title":"Kafa`ah: Journal of Gender Studies","id":"ITEM-1","issue":"1","issued":{"date-parts":[["2021"]]},"page":"95","title":"Sistem Pencegahan Dan Penanganan Kekerasan Seksual Di Kampus Uin Walisongo Semarang","type":"article-journal","volume":"11"},"uris":["http://www.mendeley.com/documents/?uuid=ec7a9f57-12d1-45ab-a50f-f7b79da7e9cc"]}],"mendeley":{"formattedCitation":"Usfiyatul Marfu’ah, Siti Rofi’ah, and Maksun Maksun, “Sistem Pencegahan Dan Penanganan Kekerasan Seksual Di Kampus Uin Walisongo Semarang,” &lt;i&gt;Kafa`ah: Journal of Gender Studies&lt;/i&gt; 11, no. 1 (2021): 95, https://doi.org/10.15548/jk.v11i1.379.","plainTextFormattedCitation":"Usfiyatul Marfu’ah, Siti Rofi’ah, and Maksun Maksun, “Sistem Pencegahan Dan Penanganan Kekerasan Seksual Di Kampus Uin Walisongo Semarang,” Kafa`ah: Journal of Gender Studies 11, no. 1 (2021): 95, https://doi.org/10.15548/jk.v11i1.379.","previouslyFormattedCitation":"(Marfu’ah, Rofi’ah, and Maksun 2021)"},"properties":{"noteIndex":33},"schema":"https://github.com/citation-style-language/schema/raw/master/csl-citation.json"}</w:instrText>
      </w:r>
      <w:r w:rsidRPr="008A7131">
        <w:rPr>
          <w:rFonts w:ascii="Palatino Linotype" w:hAnsi="Palatino Linotype"/>
        </w:rPr>
        <w:fldChar w:fldCharType="separate"/>
      </w:r>
      <w:r w:rsidRPr="008A7131">
        <w:rPr>
          <w:rFonts w:ascii="Palatino Linotype" w:hAnsi="Palatino Linotype"/>
          <w:noProof/>
        </w:rPr>
        <w:t xml:space="preserve">Usfiyatul Marfu’ah, Siti Rofi’ah, and Maksun Maksun, “Sistem Pencegahan Dan Penanganan Kekerasan Seksual Di Kampus Uin Walisongo Semarang,” </w:t>
      </w:r>
      <w:r w:rsidRPr="008A7131">
        <w:rPr>
          <w:rFonts w:ascii="Palatino Linotype" w:hAnsi="Palatino Linotype"/>
          <w:i/>
          <w:noProof/>
        </w:rPr>
        <w:t>Kafa`ah: Journal of Gender Studies</w:t>
      </w:r>
      <w:r w:rsidRPr="008A7131">
        <w:rPr>
          <w:rFonts w:ascii="Palatino Linotype" w:hAnsi="Palatino Linotype"/>
          <w:noProof/>
        </w:rPr>
        <w:t xml:space="preserve"> 11, no. 1 (2021): 95, https://doi.org/10.15548/jk.v11i1.379.</w:t>
      </w:r>
      <w:r w:rsidRPr="008A7131">
        <w:rPr>
          <w:rFonts w:ascii="Palatino Linotype" w:hAnsi="Palatino Linotype"/>
        </w:rPr>
        <w:fldChar w:fldCharType="end"/>
      </w:r>
    </w:p>
  </w:footnote>
  <w:footnote w:id="34">
    <w:p w14:paraId="132BC40C" w14:textId="34693A52" w:rsidR="004E229A" w:rsidRDefault="004E229A" w:rsidP="008A7131">
      <w:pPr>
        <w:pStyle w:val="FootnoteText"/>
        <w:spacing w:afterAutospacing="0" w:line="276" w:lineRule="auto"/>
      </w:pPr>
      <w:r w:rsidRPr="008A7131">
        <w:rPr>
          <w:rStyle w:val="FootnoteReference"/>
          <w:rFonts w:ascii="Palatino Linotype" w:hAnsi="Palatino Linotype"/>
        </w:rPr>
        <w:footnoteRef/>
      </w:r>
      <w:r w:rsidRPr="008A7131">
        <w:rPr>
          <w:rFonts w:ascii="Palatino Linotype" w:hAnsi="Palatino Linotype"/>
        </w:rPr>
        <w:t xml:space="preserve"> </w:t>
      </w:r>
      <w:r w:rsidRPr="008A7131">
        <w:rPr>
          <w:rFonts w:ascii="Palatino Linotype" w:hAnsi="Palatino Linotype"/>
        </w:rPr>
        <w:fldChar w:fldCharType="begin" w:fldLock="1"/>
      </w:r>
      <w:r w:rsidRPr="008A7131">
        <w:rPr>
          <w:rFonts w:ascii="Palatino Linotype" w:hAnsi="Palatino Linotype"/>
        </w:rPr>
        <w:instrText>ADDIN CSL_CITATION {"citationItems":[{"id":"ITEM-1","itemData":{"DOI":"10.25299/jicop.v3i1s.12363","ISSN":"2809-0608","abstract":"Peningkatan jumlah angka kekerasan seksual pada anak mengalami beberapa dampak kerugian secara fisik, psikologis, sosial dan lainnya. Namun dampak tersebut bukan hanya dialami oleh korban anak namun juga dialami oleh para orang tua korban. Penanganan yang holistik dalam upaya pemulihan atau rehabilitasi korban dapat diprediksikan akan memberikan hasil yang signifikan, diantaranya adalah pemulihan korban dan orang tua (keluarga korban) Rehabilitasi dilakukan secara bertahap, dimulai dengan setting individual melalui terapi Qana’ah, terapi dzikir secara setting kelompok (ayah-ibu/suami-istri), dan Islamic Trauma Healing untuk meningkatkan kesejahteraan psikologis para orang tua yang mengalami peristiwa yang sama dengan setting komunitas.","author":[{"dropping-particle":"","family":"Habibie","given":"Temy Andreas","non-dropping-particle":"","parse-names":false,"suffix":""},{"dropping-particle":"","family":"Uyun","given":"Qurotul","non-dropping-particle":"","parse-names":false,"suffix":""}],"container-title":"Journal of Islamic and Contemporary Psychology (JICOP)","id":"ITEM-1","issue":"1s","issued":{"date-parts":[["2023"]]},"page":"221-230","title":"Model Intervensi Islam Dalam Penanganan Gejala Gangguan Stress Pasca Trauma pada Orang Tua yang Memiliki Anak Sebagai Korban Kekerasan Seksual","type":"article-journal","volume":"3"},"uris":["http://www.mendeley.com/documents/?uuid=397d8274-a675-4693-83f0-149a06a1aa8c"]}],"mendeley":{"formattedCitation":"Habibie and Uyun, “Model Intervensi Islam Dalam Penanganan Gejala Gangguan Stress Pasca Trauma Pada Orang Tua Yang Memiliki Anak Sebagai Korban Kekerasan Seksual.”","plainTextFormattedCitation":"Habibie and Uyun, “Model Intervensi Islam Dalam Penanganan Gejala Gangguan Stress Pasca Trauma Pada Orang Tua Yang Memiliki Anak Sebagai Korban Kekerasan Seksual.”","previouslyFormattedCitation":"(Habibie and Uyun 2023)"},"properties":{"noteIndex":34},"schema":"https://github.com/citation-style-language/schema/raw/master/csl-citation.json"}</w:instrText>
      </w:r>
      <w:r w:rsidRPr="008A7131">
        <w:rPr>
          <w:rFonts w:ascii="Palatino Linotype" w:hAnsi="Palatino Linotype"/>
        </w:rPr>
        <w:fldChar w:fldCharType="separate"/>
      </w:r>
      <w:r w:rsidRPr="008A7131">
        <w:rPr>
          <w:rFonts w:ascii="Palatino Linotype" w:hAnsi="Palatino Linotype"/>
          <w:noProof/>
        </w:rPr>
        <w:t>Habibie and Uyun, “Model Intervensi Islam Dalam Penanganan Gejala Gangguan Stress Pasca Trauma Pada Orang Tua Yang Memiliki Anak Sebagai Korban Kekerasan Seksual.”</w:t>
      </w:r>
      <w:r w:rsidRPr="008A7131">
        <w:rPr>
          <w:rFonts w:ascii="Palatino Linotype" w:hAnsi="Palatino Linotype"/>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69261" w14:textId="77777777" w:rsidR="00A60DB9" w:rsidRPr="003D4F82" w:rsidRDefault="00A60DB9" w:rsidP="003C6A9D">
    <w:pPr>
      <w:pStyle w:val="Header"/>
      <w:ind w:right="-1141"/>
      <w:rPr>
        <w:rFonts w:ascii="Century" w:hAnsi="Century" w:cstheme="minorBidi"/>
        <w:sz w:val="18"/>
        <w:szCs w:val="18"/>
      </w:rPr>
    </w:pPr>
  </w:p>
  <w:p w14:paraId="5B7A7AA3" w14:textId="4FB569B6" w:rsidR="00A60DB9" w:rsidRPr="003D4F82" w:rsidRDefault="00A60DB9" w:rsidP="003C6A9D">
    <w:pPr>
      <w:pStyle w:val="Header"/>
      <w:ind w:right="-1042"/>
      <w:jc w:val="right"/>
      <w:rPr>
        <w:rFonts w:ascii="Century" w:hAnsi="Century" w:cstheme="minorBidi"/>
        <w:sz w:val="18"/>
        <w:szCs w:val="18"/>
        <w:lang w:val="en-AU"/>
      </w:rPr>
    </w:pPr>
    <w:r w:rsidRPr="003D4F82">
      <w:rPr>
        <w:rFonts w:ascii="Century" w:hAnsi="Century" w:cstheme="minorBidi"/>
        <w:color w:val="7F7F7F" w:themeColor="background1" w:themeShade="7F"/>
        <w:spacing w:val="60"/>
        <w:sz w:val="18"/>
        <w:szCs w:val="18"/>
        <w:lang w:val="en-AU"/>
      </w:rPr>
      <w:t>Page</w:t>
    </w:r>
    <w:r w:rsidRPr="003D4F82">
      <w:rPr>
        <w:rFonts w:ascii="Century" w:hAnsi="Century" w:cstheme="minorBidi"/>
        <w:sz w:val="18"/>
        <w:szCs w:val="18"/>
        <w:lang w:val="en-AU"/>
      </w:rPr>
      <w:t xml:space="preserve"> | </w:t>
    </w:r>
  </w:p>
  <w:p w14:paraId="04BFB289" w14:textId="6CD5D658"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-0716</w:t>
    </w:r>
  </w:p>
  <w:p w14:paraId="4930D3C9" w14:textId="0830A11B"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5886B584" w14:textId="77777777" w:rsidR="004E229A" w:rsidRPr="004E229A" w:rsidRDefault="004E229A" w:rsidP="004E229A">
    <w:pPr>
      <w:jc w:val="both"/>
      <w:rPr>
        <w:rFonts w:ascii="Palatino Linotype" w:hAnsi="Palatino Linotype"/>
        <w:b/>
        <w:bCs/>
        <w:sz w:val="22"/>
        <w:szCs w:val="22"/>
        <w:u w:val="single"/>
      </w:rPr>
    </w:pPr>
    <w:r w:rsidRPr="004E229A">
      <w:rPr>
        <w:rFonts w:ascii="Palatino Linotype" w:hAnsi="Palatino Linotype"/>
        <w:b/>
        <w:bCs/>
        <w:sz w:val="22"/>
        <w:szCs w:val="22"/>
        <w:u w:val="single"/>
      </w:rPr>
      <w:t>Upaya Preventif Tindak Kekerasan Pada Remaja Usia 12 – 19 Tahun Melalui Bimbingan Penyuluhan Islam</w:t>
    </w:r>
  </w:p>
  <w:p w14:paraId="372FFDE2" w14:textId="55347559" w:rsidR="004434F1" w:rsidRPr="004E229A" w:rsidRDefault="004434F1" w:rsidP="000532EA">
    <w:pPr>
      <w:pStyle w:val="Header"/>
      <w:rPr>
        <w:rFonts w:ascii="Palatino Linotype" w:hAnsi="Palatino Linotype"/>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98F20" w14:textId="77777777" w:rsidR="00A60DB9" w:rsidRPr="003D4F82" w:rsidRDefault="00A60DB9" w:rsidP="003C6A9D">
    <w:pPr>
      <w:pStyle w:val="Header"/>
      <w:ind w:right="-1141"/>
      <w:rPr>
        <w:rFonts w:ascii="Century" w:hAnsi="Century" w:cstheme="minorBidi"/>
        <w:sz w:val="18"/>
        <w:szCs w:val="18"/>
      </w:rPr>
    </w:pPr>
  </w:p>
  <w:p w14:paraId="53B4B769" w14:textId="7DA54255" w:rsidR="00A60DB9" w:rsidRPr="003D4F82" w:rsidRDefault="00A60DB9" w:rsidP="00527634">
    <w:pPr>
      <w:pStyle w:val="Header"/>
      <w:ind w:right="-1042"/>
      <w:jc w:val="right"/>
      <w:rPr>
        <w:rFonts w:ascii="Century" w:hAnsi="Century" w:cstheme="minorBidi"/>
        <w:sz w:val="18"/>
        <w:szCs w:val="18"/>
        <w:lang w:val="en-AU"/>
      </w:rPr>
    </w:pPr>
    <w:r w:rsidRPr="003D4F82">
      <w:rPr>
        <w:rFonts w:ascii="Century" w:hAnsi="Century" w:cstheme="minorBidi"/>
        <w:color w:val="7F7F7F" w:themeColor="background1" w:themeShade="7F"/>
        <w:spacing w:val="60"/>
        <w:sz w:val="18"/>
        <w:szCs w:val="18"/>
        <w:lang w:val="en-AU"/>
      </w:rPr>
      <w:t>Page</w:t>
    </w:r>
    <w:r w:rsidRPr="003D4F82">
      <w:rPr>
        <w:rFonts w:ascii="Century" w:hAnsi="Century" w:cstheme="minorBidi"/>
        <w:sz w:val="18"/>
        <w:szCs w:val="18"/>
        <w:lang w:val="en-AU"/>
      </w:rPr>
      <w:t xml:space="preserve"> | </w:t>
    </w:r>
  </w:p>
  <w:p w14:paraId="56ED097D" w14:textId="2154F58E"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-0716</w:t>
    </w:r>
  </w:p>
  <w:p w14:paraId="5E91F226" w14:textId="7BCAFB34"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4249BD8B" w14:textId="77777777" w:rsidR="00652C08" w:rsidRPr="00824506" w:rsidRDefault="00652C08" w:rsidP="00652C08">
    <w:pPr>
      <w:spacing w:before="240" w:line="276" w:lineRule="auto"/>
      <w:rPr>
        <w:rFonts w:ascii="Palatino Linotype" w:hAnsi="Palatino Linotype"/>
        <w:sz w:val="22"/>
        <w:szCs w:val="22"/>
      </w:rPr>
    </w:pPr>
    <w:r w:rsidRPr="00652C08">
      <w:rPr>
        <w:rFonts w:ascii="Palatino Linotype" w:hAnsi="Palatino Linotype"/>
        <w:b/>
        <w:bCs/>
        <w:color w:val="000000"/>
        <w:sz w:val="22"/>
        <w:szCs w:val="22"/>
      </w:rPr>
      <w:t>Nasriani</w:t>
    </w:r>
    <w:r w:rsidRPr="00652C08">
      <w:rPr>
        <w:rFonts w:ascii="Palatino Linotype" w:hAnsi="Palatino Linotype"/>
        <w:b/>
        <w:bCs/>
        <w:color w:val="000000"/>
        <w:sz w:val="22"/>
        <w:szCs w:val="22"/>
        <w:vertAlign w:val="superscript"/>
      </w:rPr>
      <w:t>1</w:t>
    </w:r>
    <w:r w:rsidRPr="00824506">
      <w:rPr>
        <w:rFonts w:ascii="Palatino Linotype" w:hAnsi="Palatino Linotype"/>
        <w:b/>
        <w:bCs/>
        <w:color w:val="000000"/>
        <w:sz w:val="22"/>
        <w:szCs w:val="22"/>
      </w:rPr>
      <w:t>, Andi Nurindah Sari</w:t>
    </w:r>
    <w:r w:rsidRPr="00652C08">
      <w:rPr>
        <w:rFonts w:ascii="Palatino Linotype" w:hAnsi="Palatino Linotype"/>
        <w:b/>
        <w:bCs/>
        <w:color w:val="000000"/>
        <w:sz w:val="22"/>
        <w:szCs w:val="22"/>
        <w:vertAlign w:val="superscript"/>
      </w:rPr>
      <w:t>2</w:t>
    </w:r>
    <w:r w:rsidRPr="00824506">
      <w:rPr>
        <w:rFonts w:ascii="Palatino Linotype" w:hAnsi="Palatino Linotype"/>
        <w:b/>
        <w:bCs/>
        <w:color w:val="000000"/>
        <w:sz w:val="22"/>
        <w:szCs w:val="22"/>
      </w:rPr>
      <w:t xml:space="preserve">, </w:t>
    </w:r>
  </w:p>
  <w:p w14:paraId="43F81C3F" w14:textId="77777777" w:rsidR="00A60DB9" w:rsidRPr="003D4F82" w:rsidRDefault="00A60DB9" w:rsidP="00533BBD">
    <w:pPr>
      <w:pStyle w:val="Header"/>
      <w:ind w:right="-1283"/>
      <w:jc w:val="right"/>
      <w:rPr>
        <w:rFonts w:ascii="Century" w:hAnsi="Century" w:cstheme="minorBidi"/>
        <w:b/>
        <w:b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E4780" w14:textId="66EE53BD" w:rsidR="00A60DB9" w:rsidRPr="00A92026" w:rsidRDefault="00C16022" w:rsidP="003C6A9D">
    <w:pPr>
      <w:pStyle w:val="Header"/>
      <w:ind w:right="-1141"/>
      <w:rPr>
        <w:rFonts w:ascii="Century" w:hAnsi="Century" w:cstheme="minorBidi"/>
        <w:sz w:val="18"/>
        <w:szCs w:val="18"/>
      </w:rPr>
    </w:pPr>
    <w:r w:rsidRPr="003D4F82">
      <w:rPr>
        <w:rFonts w:ascii="Century" w:hAnsi="Century"/>
        <w:noProof/>
        <w:color w:val="FF0000"/>
      </w:rPr>
      <w:drawing>
        <wp:anchor distT="0" distB="0" distL="114300" distR="114300" simplePos="0" relativeHeight="251677696" behindDoc="1" locked="0" layoutInCell="1" allowOverlap="1" wp14:anchorId="77BE69A7" wp14:editId="65335C0D">
          <wp:simplePos x="0" y="0"/>
          <wp:positionH relativeFrom="margin">
            <wp:align>center</wp:align>
          </wp:positionH>
          <wp:positionV relativeFrom="paragraph">
            <wp:posOffset>-69215</wp:posOffset>
          </wp:positionV>
          <wp:extent cx="6503904" cy="105294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6503904" cy="105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9E0D4" w14:textId="6B1F47CA" w:rsidR="00A60DB9" w:rsidRPr="008A2637" w:rsidRDefault="00A60DB9" w:rsidP="003C6A9D">
    <w:pPr>
      <w:pStyle w:val="Header"/>
      <w:ind w:right="-1042"/>
      <w:jc w:val="right"/>
      <w:rPr>
        <w:rFonts w:ascii="Century" w:hAnsi="Century" w:cstheme="minorBidi"/>
        <w:color w:val="FFFFFF" w:themeColor="background1"/>
        <w:sz w:val="18"/>
        <w:szCs w:val="18"/>
        <w:lang w:val="id-ID"/>
      </w:rPr>
    </w:pPr>
    <w:r w:rsidRPr="003D4F82">
      <w:rPr>
        <w:rFonts w:ascii="Century" w:hAnsi="Century" w:cstheme="minorBidi"/>
        <w:color w:val="FFFFFF" w:themeColor="background1"/>
        <w:spacing w:val="60"/>
        <w:sz w:val="18"/>
        <w:szCs w:val="18"/>
        <w:lang w:val="en-AU"/>
      </w:rPr>
      <w:t>Page</w:t>
    </w:r>
  </w:p>
  <w:p w14:paraId="6BE76A2E" w14:textId="77777777" w:rsidR="00A92026" w:rsidRPr="008E394E" w:rsidRDefault="00A92026" w:rsidP="00A92026">
    <w:pPr>
      <w:pStyle w:val="Footer"/>
      <w:rPr>
        <w:rFonts w:ascii="Palatino Linotype" w:hAnsi="Palatino Linotype" w:cs="Tahoma"/>
        <w:b/>
        <w:bCs/>
      </w:rPr>
    </w:pPr>
    <w:r w:rsidRPr="008E394E">
      <w:rPr>
        <w:rFonts w:ascii="Palatino Linotype" w:hAnsi="Palatino Linotype" w:cs="Tahoma"/>
        <w:b/>
        <w:bCs/>
      </w:rPr>
      <w:t xml:space="preserve">Jurnal La Tenriruwa </w:t>
    </w:r>
  </w:p>
  <w:p w14:paraId="27E163D8" w14:textId="6D5A9579" w:rsidR="00A92026" w:rsidRPr="0088061E" w:rsidRDefault="000532EA" w:rsidP="00A92026">
    <w:pPr>
      <w:pStyle w:val="Footer"/>
      <w:rPr>
        <w:rFonts w:ascii="Palatino Linotype" w:hAnsi="Palatino Linotype" w:cs="Tahoma"/>
        <w:b/>
        <w:bCs/>
      </w:rPr>
    </w:pPr>
    <w:r w:rsidRPr="008E394E">
      <w:rPr>
        <w:rFonts w:ascii="Palatino Linotype" w:hAnsi="Palatino Linotype" w:cs="Tahoma"/>
        <w:b/>
        <w:bCs/>
      </w:rPr>
      <w:t>Vol</w:t>
    </w:r>
    <w:proofErr w:type="gramStart"/>
    <w:r w:rsidRPr="008E394E">
      <w:rPr>
        <w:rFonts w:ascii="Palatino Linotype" w:hAnsi="Palatino Linotype" w:cs="Tahoma"/>
        <w:b/>
        <w:bCs/>
      </w:rPr>
      <w:t xml:space="preserve">. </w:t>
    </w:r>
    <w:r w:rsidR="006F3B5C" w:rsidRPr="008E394E">
      <w:rPr>
        <w:rFonts w:ascii="Palatino Linotype" w:hAnsi="Palatino Linotype" w:cs="Tahoma"/>
        <w:b/>
        <w:bCs/>
        <w:lang w:val="id-ID"/>
      </w:rPr>
      <w:t>..</w:t>
    </w:r>
    <w:proofErr w:type="gramEnd"/>
    <w:r w:rsidR="00A92026" w:rsidRPr="008E394E">
      <w:rPr>
        <w:rFonts w:ascii="Palatino Linotype" w:hAnsi="Palatino Linotype" w:cs="Tahoma"/>
        <w:b/>
        <w:bCs/>
      </w:rPr>
      <w:t xml:space="preserve"> Nomor</w:t>
    </w:r>
    <w:r w:rsidR="006F3B5C" w:rsidRPr="008E394E">
      <w:rPr>
        <w:rFonts w:ascii="Palatino Linotype" w:hAnsi="Palatino Linotype" w:cs="Tahoma"/>
        <w:b/>
        <w:bCs/>
      </w:rPr>
      <w:t xml:space="preserve"> </w:t>
    </w:r>
    <w:r w:rsidR="006F3B5C" w:rsidRPr="008E394E">
      <w:rPr>
        <w:rFonts w:ascii="Palatino Linotype" w:hAnsi="Palatino Linotype" w:cs="Tahoma"/>
        <w:b/>
        <w:bCs/>
        <w:lang w:val="id-ID"/>
      </w:rPr>
      <w:t>...</w:t>
    </w:r>
    <w:r w:rsidR="006F3B5C" w:rsidRPr="008E394E">
      <w:rPr>
        <w:rFonts w:ascii="Palatino Linotype" w:hAnsi="Palatino Linotype" w:cs="Tahoma"/>
        <w:b/>
        <w:bCs/>
      </w:rPr>
      <w:t xml:space="preserve"> Tahun </w:t>
    </w:r>
    <w:r w:rsidR="0088061E">
      <w:rPr>
        <w:rFonts w:ascii="Palatino Linotype" w:hAnsi="Palatino Linotype" w:cs="Tahoma"/>
        <w:b/>
        <w:bCs/>
      </w:rPr>
      <w:t>2024</w:t>
    </w:r>
  </w:p>
  <w:p w14:paraId="74B2EAFF" w14:textId="2FF0EA90" w:rsidR="00A60DB9" w:rsidRPr="008E394E" w:rsidRDefault="00A60DB9" w:rsidP="000532EA">
    <w:pPr>
      <w:spacing w:before="4"/>
      <w:rPr>
        <w:rFonts w:ascii="Palatino Linotype" w:hAnsi="Palatino Linotype"/>
        <w:b/>
        <w:sz w:val="18"/>
        <w:lang w:val="id-ID"/>
      </w:rPr>
    </w:pPr>
    <w:r w:rsidRPr="008E394E">
      <w:rPr>
        <w:rFonts w:ascii="Palatino Linotype" w:hAnsi="Palatino Linotype" w:cstheme="minorBidi"/>
        <w:b/>
        <w:bCs/>
        <w:sz w:val="18"/>
        <w:szCs w:val="18"/>
        <w:lang w:val="id-ID"/>
      </w:rPr>
      <w:t xml:space="preserve">E-ISSN : </w:t>
    </w:r>
    <w:r w:rsidR="000532EA" w:rsidRPr="008E394E">
      <w:rPr>
        <w:rFonts w:ascii="Palatino Linotype" w:hAnsi="Palatino Linotype"/>
        <w:b/>
        <w:w w:val="110"/>
        <w:sz w:val="18"/>
      </w:rPr>
      <w:t>2962</w:t>
    </w:r>
    <w:r w:rsidR="000532EA" w:rsidRPr="008E394E">
      <w:rPr>
        <w:rFonts w:ascii="Palatino Linotype" w:hAnsi="Palatino Linotype"/>
        <w:b/>
        <w:w w:val="110"/>
        <w:sz w:val="18"/>
        <w:lang w:val="id-ID"/>
      </w:rPr>
      <w:t>-0716</w:t>
    </w:r>
  </w:p>
  <w:p w14:paraId="0EEE2B81" w14:textId="1720B0C3" w:rsidR="00A60DB9" w:rsidRPr="008E394E" w:rsidRDefault="00A60DB9" w:rsidP="00203842">
    <w:pPr>
      <w:pStyle w:val="Header"/>
      <w:ind w:right="-1283"/>
      <w:rPr>
        <w:rFonts w:ascii="Palatino Linotype" w:hAnsi="Palatino Linotype" w:cstheme="minorBidi"/>
        <w:b/>
        <w:bCs/>
        <w:sz w:val="18"/>
        <w:szCs w:val="18"/>
      </w:rPr>
    </w:pPr>
    <w:r w:rsidRPr="008E394E">
      <w:rPr>
        <w:rFonts w:ascii="Palatino Linotype" w:hAnsi="Palatino Linotype" w:cstheme="minorBidi"/>
        <w:b/>
        <w:bCs/>
        <w:sz w:val="18"/>
        <w:szCs w:val="18"/>
        <w:lang w:val="id-ID"/>
      </w:rPr>
      <w:t xml:space="preserve">P-ISSN : </w:t>
    </w:r>
    <w:r w:rsidR="003D4F82" w:rsidRPr="008E394E">
      <w:rPr>
        <w:rFonts w:ascii="Palatino Linotype" w:hAnsi="Palatino Linotype" w:cstheme="minorBidi"/>
        <w:b/>
        <w:bCs/>
        <w:sz w:val="18"/>
        <w:szCs w:val="18"/>
      </w:rPr>
      <w:t>-</w:t>
    </w:r>
  </w:p>
  <w:p w14:paraId="6207B8DF" w14:textId="77777777" w:rsidR="00A60DB9" w:rsidRPr="00A92026" w:rsidRDefault="00A60DB9">
    <w:pPr>
      <w:pStyle w:val="Header"/>
      <w:rPr>
        <w:rFonts w:ascii="Century" w:hAnsi="Centur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2628"/>
    <w:multiLevelType w:val="hybridMultilevel"/>
    <w:tmpl w:val="849024EA"/>
    <w:lvl w:ilvl="0" w:tplc="C0C8605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2F5A3EA8"/>
    <w:multiLevelType w:val="hybridMultilevel"/>
    <w:tmpl w:val="91D4DD88"/>
    <w:lvl w:ilvl="0" w:tplc="FB2ED128">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
    <w:nsid w:val="47066BB3"/>
    <w:multiLevelType w:val="hybridMultilevel"/>
    <w:tmpl w:val="9E34D5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49C313D0"/>
    <w:multiLevelType w:val="hybridMultilevel"/>
    <w:tmpl w:val="45645D34"/>
    <w:lvl w:ilvl="0" w:tplc="BBE0F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EE178D"/>
    <w:multiLevelType w:val="hybridMultilevel"/>
    <w:tmpl w:val="447490F4"/>
    <w:lvl w:ilvl="0" w:tplc="1C8C6EC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6EB56936"/>
    <w:multiLevelType w:val="hybridMultilevel"/>
    <w:tmpl w:val="E438F72C"/>
    <w:lvl w:ilvl="0" w:tplc="873C8EFC">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6">
    <w:nsid w:val="784C5A4B"/>
    <w:multiLevelType w:val="hybridMultilevel"/>
    <w:tmpl w:val="53042E5A"/>
    <w:lvl w:ilvl="0" w:tplc="BA36619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7CC743AA"/>
    <w:multiLevelType w:val="multilevel"/>
    <w:tmpl w:val="974CCDD4"/>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num w:numId="1">
    <w:abstractNumId w:val="7"/>
  </w:num>
  <w:num w:numId="2">
    <w:abstractNumId w:val="6"/>
  </w:num>
  <w:num w:numId="3">
    <w:abstractNumId w:val="5"/>
  </w:num>
  <w:num w:numId="4">
    <w:abstractNumId w:val="4"/>
  </w:num>
  <w:num w:numId="5">
    <w:abstractNumId w:val="0"/>
  </w:num>
  <w:num w:numId="6">
    <w:abstractNumId w:val="1"/>
  </w:num>
  <w:num w:numId="7">
    <w:abstractNumId w:val="2"/>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grammar="clean"/>
  <w:defaultTabStop w:val="720"/>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E3MDczMTIwMDQzMjZX0lEKTi0uzszPAykwrQUAUa9O4CwAAAA="/>
  </w:docVars>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280"/>
    <w:rsid w:val="000046B6"/>
    <w:rsid w:val="00004777"/>
    <w:rsid w:val="000047BC"/>
    <w:rsid w:val="00004924"/>
    <w:rsid w:val="000049D8"/>
    <w:rsid w:val="00004BF3"/>
    <w:rsid w:val="0000510F"/>
    <w:rsid w:val="00005224"/>
    <w:rsid w:val="00006507"/>
    <w:rsid w:val="000066DA"/>
    <w:rsid w:val="00006768"/>
    <w:rsid w:val="00006947"/>
    <w:rsid w:val="00006961"/>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6AD"/>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297"/>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3EF"/>
    <w:rsid w:val="00021690"/>
    <w:rsid w:val="0002176C"/>
    <w:rsid w:val="00021A92"/>
    <w:rsid w:val="00021B5F"/>
    <w:rsid w:val="0002206B"/>
    <w:rsid w:val="000225AE"/>
    <w:rsid w:val="00022607"/>
    <w:rsid w:val="00022936"/>
    <w:rsid w:val="00022ADA"/>
    <w:rsid w:val="00022F66"/>
    <w:rsid w:val="00023123"/>
    <w:rsid w:val="000232A8"/>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9C"/>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9"/>
    <w:rsid w:val="00031C9E"/>
    <w:rsid w:val="00032042"/>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2CF"/>
    <w:rsid w:val="000435E8"/>
    <w:rsid w:val="0004424A"/>
    <w:rsid w:val="00044382"/>
    <w:rsid w:val="0004480D"/>
    <w:rsid w:val="000448D9"/>
    <w:rsid w:val="00044EB2"/>
    <w:rsid w:val="00044EC8"/>
    <w:rsid w:val="0004518A"/>
    <w:rsid w:val="000454C8"/>
    <w:rsid w:val="00045D5D"/>
    <w:rsid w:val="00045F25"/>
    <w:rsid w:val="00045F6E"/>
    <w:rsid w:val="000462ED"/>
    <w:rsid w:val="00046745"/>
    <w:rsid w:val="00046D03"/>
    <w:rsid w:val="0004750F"/>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2EA"/>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76"/>
    <w:rsid w:val="000665C7"/>
    <w:rsid w:val="00066D53"/>
    <w:rsid w:val="0006789F"/>
    <w:rsid w:val="000679DB"/>
    <w:rsid w:val="00070321"/>
    <w:rsid w:val="000707F4"/>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3C0"/>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505"/>
    <w:rsid w:val="00087564"/>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7EB"/>
    <w:rsid w:val="000938CD"/>
    <w:rsid w:val="00093B2E"/>
    <w:rsid w:val="0009479F"/>
    <w:rsid w:val="00094C1D"/>
    <w:rsid w:val="00094F11"/>
    <w:rsid w:val="0009571F"/>
    <w:rsid w:val="000957C4"/>
    <w:rsid w:val="00095B57"/>
    <w:rsid w:val="0009634C"/>
    <w:rsid w:val="000963E4"/>
    <w:rsid w:val="0009688D"/>
    <w:rsid w:val="000968C1"/>
    <w:rsid w:val="00096DB8"/>
    <w:rsid w:val="000970D2"/>
    <w:rsid w:val="000971C0"/>
    <w:rsid w:val="000979D7"/>
    <w:rsid w:val="00097C27"/>
    <w:rsid w:val="00097FCC"/>
    <w:rsid w:val="00097FEA"/>
    <w:rsid w:val="000A06E3"/>
    <w:rsid w:val="000A1026"/>
    <w:rsid w:val="000A12EC"/>
    <w:rsid w:val="000A139F"/>
    <w:rsid w:val="000A15D7"/>
    <w:rsid w:val="000A1721"/>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0"/>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7C4"/>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35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1E51"/>
    <w:rsid w:val="000E256A"/>
    <w:rsid w:val="000E2B69"/>
    <w:rsid w:val="000E2BAB"/>
    <w:rsid w:val="000E2CE6"/>
    <w:rsid w:val="000E2D6E"/>
    <w:rsid w:val="000E2F73"/>
    <w:rsid w:val="000E3039"/>
    <w:rsid w:val="000E32D1"/>
    <w:rsid w:val="000E35BC"/>
    <w:rsid w:val="000E36CF"/>
    <w:rsid w:val="000E374D"/>
    <w:rsid w:val="000E37BD"/>
    <w:rsid w:val="000E37E3"/>
    <w:rsid w:val="000E3826"/>
    <w:rsid w:val="000E39E7"/>
    <w:rsid w:val="000E3A10"/>
    <w:rsid w:val="000E3D6F"/>
    <w:rsid w:val="000E4027"/>
    <w:rsid w:val="000E4148"/>
    <w:rsid w:val="000E426C"/>
    <w:rsid w:val="000E484F"/>
    <w:rsid w:val="000E49F8"/>
    <w:rsid w:val="000E4C46"/>
    <w:rsid w:val="000E4E73"/>
    <w:rsid w:val="000E5026"/>
    <w:rsid w:val="000E519F"/>
    <w:rsid w:val="000E58B6"/>
    <w:rsid w:val="000E58EF"/>
    <w:rsid w:val="000E60F1"/>
    <w:rsid w:val="000E614C"/>
    <w:rsid w:val="000E6350"/>
    <w:rsid w:val="000E686C"/>
    <w:rsid w:val="000E6E01"/>
    <w:rsid w:val="000E7467"/>
    <w:rsid w:val="000E7854"/>
    <w:rsid w:val="000E78EA"/>
    <w:rsid w:val="000F0222"/>
    <w:rsid w:val="000F032A"/>
    <w:rsid w:val="000F043F"/>
    <w:rsid w:val="000F044A"/>
    <w:rsid w:val="000F06C4"/>
    <w:rsid w:val="000F0A9C"/>
    <w:rsid w:val="000F0B30"/>
    <w:rsid w:val="000F0F74"/>
    <w:rsid w:val="000F1045"/>
    <w:rsid w:val="000F1231"/>
    <w:rsid w:val="000F12D1"/>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5EE"/>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A74"/>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1D"/>
    <w:rsid w:val="00127072"/>
    <w:rsid w:val="001270F3"/>
    <w:rsid w:val="001301E7"/>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486"/>
    <w:rsid w:val="001408F3"/>
    <w:rsid w:val="001409DD"/>
    <w:rsid w:val="0014127D"/>
    <w:rsid w:val="0014144D"/>
    <w:rsid w:val="00141472"/>
    <w:rsid w:val="001414D8"/>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4E6"/>
    <w:rsid w:val="00160594"/>
    <w:rsid w:val="001606B9"/>
    <w:rsid w:val="00160819"/>
    <w:rsid w:val="00160AFD"/>
    <w:rsid w:val="00160B38"/>
    <w:rsid w:val="00161446"/>
    <w:rsid w:val="00161B84"/>
    <w:rsid w:val="001631FD"/>
    <w:rsid w:val="001635D0"/>
    <w:rsid w:val="00163EB8"/>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3F20"/>
    <w:rsid w:val="00174109"/>
    <w:rsid w:val="00174D2B"/>
    <w:rsid w:val="00174DF4"/>
    <w:rsid w:val="00174F3E"/>
    <w:rsid w:val="00174FDF"/>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5EE5"/>
    <w:rsid w:val="00186117"/>
    <w:rsid w:val="0018628E"/>
    <w:rsid w:val="00186355"/>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35E"/>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16B"/>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87"/>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ABD"/>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1E50"/>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1D81"/>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26C"/>
    <w:rsid w:val="001F5484"/>
    <w:rsid w:val="001F54E2"/>
    <w:rsid w:val="001F700F"/>
    <w:rsid w:val="001F71BB"/>
    <w:rsid w:val="001F77C1"/>
    <w:rsid w:val="001F7970"/>
    <w:rsid w:val="002000BD"/>
    <w:rsid w:val="002008F3"/>
    <w:rsid w:val="002008F8"/>
    <w:rsid w:val="00200979"/>
    <w:rsid w:val="00200ABB"/>
    <w:rsid w:val="002016C3"/>
    <w:rsid w:val="00201E5B"/>
    <w:rsid w:val="00201F86"/>
    <w:rsid w:val="002020BF"/>
    <w:rsid w:val="00202859"/>
    <w:rsid w:val="0020330B"/>
    <w:rsid w:val="00203842"/>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6E9D"/>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2F90"/>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237"/>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B31"/>
    <w:rsid w:val="00234C08"/>
    <w:rsid w:val="00234E56"/>
    <w:rsid w:val="002357CF"/>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783"/>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19DC"/>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A82"/>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23"/>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416"/>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1E5"/>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4C"/>
    <w:rsid w:val="002B0AA4"/>
    <w:rsid w:val="002B133E"/>
    <w:rsid w:val="002B1C39"/>
    <w:rsid w:val="002B1E26"/>
    <w:rsid w:val="002B1EE0"/>
    <w:rsid w:val="002B2018"/>
    <w:rsid w:val="002B22C8"/>
    <w:rsid w:val="002B26F4"/>
    <w:rsid w:val="002B298A"/>
    <w:rsid w:val="002B2F71"/>
    <w:rsid w:val="002B3291"/>
    <w:rsid w:val="002B36F2"/>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747"/>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6C1"/>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6A58"/>
    <w:rsid w:val="002D71F8"/>
    <w:rsid w:val="002D726E"/>
    <w:rsid w:val="002D7481"/>
    <w:rsid w:val="002D7640"/>
    <w:rsid w:val="002D7AA6"/>
    <w:rsid w:val="002E0279"/>
    <w:rsid w:val="002E03A7"/>
    <w:rsid w:val="002E06A9"/>
    <w:rsid w:val="002E06C4"/>
    <w:rsid w:val="002E06E6"/>
    <w:rsid w:val="002E0AFB"/>
    <w:rsid w:val="002E0BB4"/>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36"/>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8C"/>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3001D3"/>
    <w:rsid w:val="00300294"/>
    <w:rsid w:val="003002EF"/>
    <w:rsid w:val="00300369"/>
    <w:rsid w:val="00300522"/>
    <w:rsid w:val="00300735"/>
    <w:rsid w:val="00300974"/>
    <w:rsid w:val="00300E3E"/>
    <w:rsid w:val="00300E91"/>
    <w:rsid w:val="00301176"/>
    <w:rsid w:val="0030199F"/>
    <w:rsid w:val="003019B6"/>
    <w:rsid w:val="00301BD4"/>
    <w:rsid w:val="00302074"/>
    <w:rsid w:val="003020BB"/>
    <w:rsid w:val="003020F4"/>
    <w:rsid w:val="00302E9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476"/>
    <w:rsid w:val="00314A24"/>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86"/>
    <w:rsid w:val="00322F49"/>
    <w:rsid w:val="00323BCE"/>
    <w:rsid w:val="0032425A"/>
    <w:rsid w:val="0032427A"/>
    <w:rsid w:val="003245C5"/>
    <w:rsid w:val="00324C69"/>
    <w:rsid w:val="003251D1"/>
    <w:rsid w:val="003251DC"/>
    <w:rsid w:val="0032523C"/>
    <w:rsid w:val="0032555D"/>
    <w:rsid w:val="003263BF"/>
    <w:rsid w:val="003264C5"/>
    <w:rsid w:val="00326909"/>
    <w:rsid w:val="00326B83"/>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40462"/>
    <w:rsid w:val="00340710"/>
    <w:rsid w:val="003413FB"/>
    <w:rsid w:val="0034161B"/>
    <w:rsid w:val="00341811"/>
    <w:rsid w:val="0034266D"/>
    <w:rsid w:val="003428B7"/>
    <w:rsid w:val="00342AFC"/>
    <w:rsid w:val="00342C26"/>
    <w:rsid w:val="00342CED"/>
    <w:rsid w:val="003433A5"/>
    <w:rsid w:val="003433D4"/>
    <w:rsid w:val="00343AD5"/>
    <w:rsid w:val="0034408E"/>
    <w:rsid w:val="0034418F"/>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CD9"/>
    <w:rsid w:val="00350E0C"/>
    <w:rsid w:val="003511F2"/>
    <w:rsid w:val="0035125A"/>
    <w:rsid w:val="00351A44"/>
    <w:rsid w:val="00351E76"/>
    <w:rsid w:val="0035227B"/>
    <w:rsid w:val="003522DD"/>
    <w:rsid w:val="003523CC"/>
    <w:rsid w:val="00352798"/>
    <w:rsid w:val="0035297E"/>
    <w:rsid w:val="00352B27"/>
    <w:rsid w:val="003532F1"/>
    <w:rsid w:val="00353E4F"/>
    <w:rsid w:val="003541B1"/>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6FB5"/>
    <w:rsid w:val="00377747"/>
    <w:rsid w:val="003777A2"/>
    <w:rsid w:val="00377C6A"/>
    <w:rsid w:val="00380BC4"/>
    <w:rsid w:val="00380C3A"/>
    <w:rsid w:val="00380CFA"/>
    <w:rsid w:val="00380D26"/>
    <w:rsid w:val="003812DD"/>
    <w:rsid w:val="00381A15"/>
    <w:rsid w:val="00381BFE"/>
    <w:rsid w:val="00381FA4"/>
    <w:rsid w:val="00382181"/>
    <w:rsid w:val="00382B89"/>
    <w:rsid w:val="00382CAE"/>
    <w:rsid w:val="00382DA9"/>
    <w:rsid w:val="00382DEB"/>
    <w:rsid w:val="003831A1"/>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0D"/>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E3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3EFA"/>
    <w:rsid w:val="003A41D1"/>
    <w:rsid w:val="003A426C"/>
    <w:rsid w:val="003A44D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A9D"/>
    <w:rsid w:val="003C6E73"/>
    <w:rsid w:val="003C731F"/>
    <w:rsid w:val="003C7E77"/>
    <w:rsid w:val="003C7FBE"/>
    <w:rsid w:val="003D007E"/>
    <w:rsid w:val="003D058B"/>
    <w:rsid w:val="003D0C18"/>
    <w:rsid w:val="003D0EA2"/>
    <w:rsid w:val="003D108D"/>
    <w:rsid w:val="003D1270"/>
    <w:rsid w:val="003D17FC"/>
    <w:rsid w:val="003D1958"/>
    <w:rsid w:val="003D1A3C"/>
    <w:rsid w:val="003D1B26"/>
    <w:rsid w:val="003D1FAB"/>
    <w:rsid w:val="003D226C"/>
    <w:rsid w:val="003D2613"/>
    <w:rsid w:val="003D26E5"/>
    <w:rsid w:val="003D28C5"/>
    <w:rsid w:val="003D2982"/>
    <w:rsid w:val="003D3040"/>
    <w:rsid w:val="003D327D"/>
    <w:rsid w:val="003D3A07"/>
    <w:rsid w:val="003D3DF7"/>
    <w:rsid w:val="003D3F50"/>
    <w:rsid w:val="003D404A"/>
    <w:rsid w:val="003D446F"/>
    <w:rsid w:val="003D46BF"/>
    <w:rsid w:val="003D4C3D"/>
    <w:rsid w:val="003D4DA5"/>
    <w:rsid w:val="003D4E15"/>
    <w:rsid w:val="003D4F2A"/>
    <w:rsid w:val="003D4F82"/>
    <w:rsid w:val="003D5479"/>
    <w:rsid w:val="003D5535"/>
    <w:rsid w:val="003D5ADB"/>
    <w:rsid w:val="003D5C2F"/>
    <w:rsid w:val="003D5E33"/>
    <w:rsid w:val="003D639E"/>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6AE0"/>
    <w:rsid w:val="003E72A7"/>
    <w:rsid w:val="003E7434"/>
    <w:rsid w:val="003E76DF"/>
    <w:rsid w:val="003E771C"/>
    <w:rsid w:val="003E7A39"/>
    <w:rsid w:val="003E7B69"/>
    <w:rsid w:val="003E7D41"/>
    <w:rsid w:val="003F0353"/>
    <w:rsid w:val="003F081B"/>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2C1"/>
    <w:rsid w:val="003F53A1"/>
    <w:rsid w:val="003F56F3"/>
    <w:rsid w:val="003F5BB1"/>
    <w:rsid w:val="003F5E3F"/>
    <w:rsid w:val="003F5FDF"/>
    <w:rsid w:val="003F6047"/>
    <w:rsid w:val="003F66B8"/>
    <w:rsid w:val="003F67BC"/>
    <w:rsid w:val="003F68C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29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20C"/>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17B"/>
    <w:rsid w:val="004255EC"/>
    <w:rsid w:val="00425757"/>
    <w:rsid w:val="00425765"/>
    <w:rsid w:val="00425989"/>
    <w:rsid w:val="00425E27"/>
    <w:rsid w:val="00426138"/>
    <w:rsid w:val="004266EF"/>
    <w:rsid w:val="00426899"/>
    <w:rsid w:val="0042690F"/>
    <w:rsid w:val="00426B9A"/>
    <w:rsid w:val="00426D39"/>
    <w:rsid w:val="00426DE8"/>
    <w:rsid w:val="00426E38"/>
    <w:rsid w:val="0042726A"/>
    <w:rsid w:val="0042745C"/>
    <w:rsid w:val="0042783A"/>
    <w:rsid w:val="0042795C"/>
    <w:rsid w:val="00427D90"/>
    <w:rsid w:val="00430094"/>
    <w:rsid w:val="004300AC"/>
    <w:rsid w:val="004301CD"/>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377C3"/>
    <w:rsid w:val="00440182"/>
    <w:rsid w:val="00440412"/>
    <w:rsid w:val="004405A7"/>
    <w:rsid w:val="00440698"/>
    <w:rsid w:val="0044072C"/>
    <w:rsid w:val="004409FF"/>
    <w:rsid w:val="00440BB1"/>
    <w:rsid w:val="00440D6A"/>
    <w:rsid w:val="00440E19"/>
    <w:rsid w:val="00440EBF"/>
    <w:rsid w:val="00440FA2"/>
    <w:rsid w:val="00441013"/>
    <w:rsid w:val="00441405"/>
    <w:rsid w:val="00441474"/>
    <w:rsid w:val="00441708"/>
    <w:rsid w:val="004419C7"/>
    <w:rsid w:val="00441CCB"/>
    <w:rsid w:val="00442A19"/>
    <w:rsid w:val="00442D0C"/>
    <w:rsid w:val="00442F8D"/>
    <w:rsid w:val="00443151"/>
    <w:rsid w:val="00443221"/>
    <w:rsid w:val="00443343"/>
    <w:rsid w:val="004434F1"/>
    <w:rsid w:val="004435A7"/>
    <w:rsid w:val="00443CD7"/>
    <w:rsid w:val="00443E2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92"/>
    <w:rsid w:val="00460BD2"/>
    <w:rsid w:val="00460F2F"/>
    <w:rsid w:val="00460F7A"/>
    <w:rsid w:val="0046160A"/>
    <w:rsid w:val="004618E7"/>
    <w:rsid w:val="00461A05"/>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38"/>
    <w:rsid w:val="0047038E"/>
    <w:rsid w:val="0047060F"/>
    <w:rsid w:val="00470624"/>
    <w:rsid w:val="004706F8"/>
    <w:rsid w:val="0047075C"/>
    <w:rsid w:val="00470C58"/>
    <w:rsid w:val="00471319"/>
    <w:rsid w:val="004713AE"/>
    <w:rsid w:val="00471507"/>
    <w:rsid w:val="0047193A"/>
    <w:rsid w:val="00471C09"/>
    <w:rsid w:val="00472291"/>
    <w:rsid w:val="0047250D"/>
    <w:rsid w:val="00472694"/>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D9F"/>
    <w:rsid w:val="00474E9D"/>
    <w:rsid w:val="004750CC"/>
    <w:rsid w:val="004751CC"/>
    <w:rsid w:val="0047527B"/>
    <w:rsid w:val="00475547"/>
    <w:rsid w:val="0047577A"/>
    <w:rsid w:val="00475B33"/>
    <w:rsid w:val="00475FC2"/>
    <w:rsid w:val="004763C3"/>
    <w:rsid w:val="00476517"/>
    <w:rsid w:val="0047652E"/>
    <w:rsid w:val="00476763"/>
    <w:rsid w:val="0047749F"/>
    <w:rsid w:val="00477A59"/>
    <w:rsid w:val="00477ABE"/>
    <w:rsid w:val="004800E7"/>
    <w:rsid w:val="004806D0"/>
    <w:rsid w:val="00480BB3"/>
    <w:rsid w:val="00480C37"/>
    <w:rsid w:val="00480C3D"/>
    <w:rsid w:val="00480F4E"/>
    <w:rsid w:val="0048100A"/>
    <w:rsid w:val="0048189C"/>
    <w:rsid w:val="0048208C"/>
    <w:rsid w:val="004823EC"/>
    <w:rsid w:val="004826B8"/>
    <w:rsid w:val="0048313D"/>
    <w:rsid w:val="004831BE"/>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3DD"/>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89E"/>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8A1"/>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849"/>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54"/>
    <w:rsid w:val="004D62B3"/>
    <w:rsid w:val="004D6591"/>
    <w:rsid w:val="004D6E4E"/>
    <w:rsid w:val="004D6FF5"/>
    <w:rsid w:val="004D7052"/>
    <w:rsid w:val="004D7159"/>
    <w:rsid w:val="004D78FF"/>
    <w:rsid w:val="004D79F9"/>
    <w:rsid w:val="004D7BF1"/>
    <w:rsid w:val="004D7D82"/>
    <w:rsid w:val="004D7F8F"/>
    <w:rsid w:val="004E024F"/>
    <w:rsid w:val="004E06D3"/>
    <w:rsid w:val="004E14AB"/>
    <w:rsid w:val="004E1A97"/>
    <w:rsid w:val="004E1B6A"/>
    <w:rsid w:val="004E1E26"/>
    <w:rsid w:val="004E229A"/>
    <w:rsid w:val="004E2374"/>
    <w:rsid w:val="004E2395"/>
    <w:rsid w:val="004E25E1"/>
    <w:rsid w:val="004E2648"/>
    <w:rsid w:val="004E272D"/>
    <w:rsid w:val="004E2DF9"/>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499"/>
    <w:rsid w:val="004E76AA"/>
    <w:rsid w:val="004E76E4"/>
    <w:rsid w:val="004E7AC4"/>
    <w:rsid w:val="004E7C00"/>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6E57"/>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948"/>
    <w:rsid w:val="00511C81"/>
    <w:rsid w:val="00511CFD"/>
    <w:rsid w:val="0051202F"/>
    <w:rsid w:val="00512127"/>
    <w:rsid w:val="00512679"/>
    <w:rsid w:val="00512685"/>
    <w:rsid w:val="005126F4"/>
    <w:rsid w:val="00512765"/>
    <w:rsid w:val="00512CA0"/>
    <w:rsid w:val="0051336F"/>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4E2"/>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34"/>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BBD"/>
    <w:rsid w:val="00533D59"/>
    <w:rsid w:val="00533E3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ADF"/>
    <w:rsid w:val="00544ECF"/>
    <w:rsid w:val="00544F11"/>
    <w:rsid w:val="00544F21"/>
    <w:rsid w:val="00545230"/>
    <w:rsid w:val="0054560C"/>
    <w:rsid w:val="0054592E"/>
    <w:rsid w:val="00545AC8"/>
    <w:rsid w:val="00545DC1"/>
    <w:rsid w:val="00545EEA"/>
    <w:rsid w:val="0054675A"/>
    <w:rsid w:val="00546C01"/>
    <w:rsid w:val="0054724C"/>
    <w:rsid w:val="005473F5"/>
    <w:rsid w:val="005501E6"/>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1DD"/>
    <w:rsid w:val="005556F4"/>
    <w:rsid w:val="0055596D"/>
    <w:rsid w:val="00555BA9"/>
    <w:rsid w:val="00555D56"/>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A1D"/>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924"/>
    <w:rsid w:val="00583A51"/>
    <w:rsid w:val="00583E93"/>
    <w:rsid w:val="00584273"/>
    <w:rsid w:val="005842F9"/>
    <w:rsid w:val="00584308"/>
    <w:rsid w:val="00584429"/>
    <w:rsid w:val="005844E8"/>
    <w:rsid w:val="00585029"/>
    <w:rsid w:val="00585385"/>
    <w:rsid w:val="00585433"/>
    <w:rsid w:val="005859A4"/>
    <w:rsid w:val="00585E97"/>
    <w:rsid w:val="00586189"/>
    <w:rsid w:val="005864C1"/>
    <w:rsid w:val="00586B56"/>
    <w:rsid w:val="00586ED4"/>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18A"/>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A74"/>
    <w:rsid w:val="005A7B07"/>
    <w:rsid w:val="005A7C84"/>
    <w:rsid w:val="005A7DDA"/>
    <w:rsid w:val="005A7FC0"/>
    <w:rsid w:val="005B015C"/>
    <w:rsid w:val="005B06BC"/>
    <w:rsid w:val="005B0D41"/>
    <w:rsid w:val="005B0F93"/>
    <w:rsid w:val="005B1195"/>
    <w:rsid w:val="005B158B"/>
    <w:rsid w:val="005B18D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B33"/>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8B"/>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09D"/>
    <w:rsid w:val="005D415D"/>
    <w:rsid w:val="005D4348"/>
    <w:rsid w:val="005D4377"/>
    <w:rsid w:val="005D43AB"/>
    <w:rsid w:val="005D48B3"/>
    <w:rsid w:val="005D4964"/>
    <w:rsid w:val="005D498E"/>
    <w:rsid w:val="005D4C86"/>
    <w:rsid w:val="005D5212"/>
    <w:rsid w:val="005D53FA"/>
    <w:rsid w:val="005D5515"/>
    <w:rsid w:val="005D5713"/>
    <w:rsid w:val="005D5C3C"/>
    <w:rsid w:val="005D5CCB"/>
    <w:rsid w:val="005D62C2"/>
    <w:rsid w:val="005D6621"/>
    <w:rsid w:val="005D6895"/>
    <w:rsid w:val="005D6CB5"/>
    <w:rsid w:val="005D6D2B"/>
    <w:rsid w:val="005D70C6"/>
    <w:rsid w:val="005D7318"/>
    <w:rsid w:val="005D7A8C"/>
    <w:rsid w:val="005D7C6D"/>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7CF"/>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57B"/>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5DF3"/>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44B3"/>
    <w:rsid w:val="0061516C"/>
    <w:rsid w:val="00615334"/>
    <w:rsid w:val="006154B2"/>
    <w:rsid w:val="0061555A"/>
    <w:rsid w:val="00615A09"/>
    <w:rsid w:val="00615A55"/>
    <w:rsid w:val="00615AD4"/>
    <w:rsid w:val="00615E7F"/>
    <w:rsid w:val="00615F71"/>
    <w:rsid w:val="006167CA"/>
    <w:rsid w:val="00616D45"/>
    <w:rsid w:val="00616D93"/>
    <w:rsid w:val="00616D9B"/>
    <w:rsid w:val="00616FE8"/>
    <w:rsid w:val="0061706F"/>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BB8"/>
    <w:rsid w:val="00630CF8"/>
    <w:rsid w:val="00630E59"/>
    <w:rsid w:val="00630EC0"/>
    <w:rsid w:val="0063126A"/>
    <w:rsid w:val="00631425"/>
    <w:rsid w:val="00631707"/>
    <w:rsid w:val="00632A4B"/>
    <w:rsid w:val="00632AFB"/>
    <w:rsid w:val="00632BE9"/>
    <w:rsid w:val="00632BFE"/>
    <w:rsid w:val="006333BC"/>
    <w:rsid w:val="006333FF"/>
    <w:rsid w:val="00633821"/>
    <w:rsid w:val="0063405D"/>
    <w:rsid w:val="00634067"/>
    <w:rsid w:val="0063431D"/>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40A"/>
    <w:rsid w:val="00643505"/>
    <w:rsid w:val="006436B7"/>
    <w:rsid w:val="006439BB"/>
    <w:rsid w:val="0064426E"/>
    <w:rsid w:val="00644716"/>
    <w:rsid w:val="00644B7E"/>
    <w:rsid w:val="00644B80"/>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C08"/>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6B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48B"/>
    <w:rsid w:val="006945C9"/>
    <w:rsid w:val="00694604"/>
    <w:rsid w:val="0069474B"/>
    <w:rsid w:val="00694A57"/>
    <w:rsid w:val="00694BF1"/>
    <w:rsid w:val="00694C94"/>
    <w:rsid w:val="00695168"/>
    <w:rsid w:val="00695460"/>
    <w:rsid w:val="00695E3C"/>
    <w:rsid w:val="0069622F"/>
    <w:rsid w:val="0069696E"/>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6B"/>
    <w:rsid w:val="006C619D"/>
    <w:rsid w:val="006C62FA"/>
    <w:rsid w:val="006C685A"/>
    <w:rsid w:val="006C68BF"/>
    <w:rsid w:val="006C6AB6"/>
    <w:rsid w:val="006C7140"/>
    <w:rsid w:val="006C788B"/>
    <w:rsid w:val="006C79AF"/>
    <w:rsid w:val="006C7AD2"/>
    <w:rsid w:val="006C7CB3"/>
    <w:rsid w:val="006D027A"/>
    <w:rsid w:val="006D03FA"/>
    <w:rsid w:val="006D0C9B"/>
    <w:rsid w:val="006D13A6"/>
    <w:rsid w:val="006D1B76"/>
    <w:rsid w:val="006D1E9C"/>
    <w:rsid w:val="006D1F76"/>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907"/>
    <w:rsid w:val="006E1AFA"/>
    <w:rsid w:val="006E1BA4"/>
    <w:rsid w:val="006E1C76"/>
    <w:rsid w:val="006E2023"/>
    <w:rsid w:val="006E23AF"/>
    <w:rsid w:val="006E2468"/>
    <w:rsid w:val="006E24E5"/>
    <w:rsid w:val="006E26CB"/>
    <w:rsid w:val="006E2B6C"/>
    <w:rsid w:val="006E32A4"/>
    <w:rsid w:val="006E49F0"/>
    <w:rsid w:val="006E4AE6"/>
    <w:rsid w:val="006E4B3E"/>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D97"/>
    <w:rsid w:val="006F0FA0"/>
    <w:rsid w:val="006F1124"/>
    <w:rsid w:val="006F1582"/>
    <w:rsid w:val="006F1E18"/>
    <w:rsid w:val="006F22B1"/>
    <w:rsid w:val="006F23C4"/>
    <w:rsid w:val="006F2818"/>
    <w:rsid w:val="006F2B1F"/>
    <w:rsid w:val="006F2FED"/>
    <w:rsid w:val="006F34CA"/>
    <w:rsid w:val="006F38F9"/>
    <w:rsid w:val="006F3B5C"/>
    <w:rsid w:val="006F3BE5"/>
    <w:rsid w:val="006F3CC4"/>
    <w:rsid w:val="006F3CDD"/>
    <w:rsid w:val="006F41D8"/>
    <w:rsid w:val="006F41F0"/>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1DF"/>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318"/>
    <w:rsid w:val="00715493"/>
    <w:rsid w:val="007154C2"/>
    <w:rsid w:val="007155D8"/>
    <w:rsid w:val="007156ED"/>
    <w:rsid w:val="007157C2"/>
    <w:rsid w:val="007159D0"/>
    <w:rsid w:val="00715BCD"/>
    <w:rsid w:val="00715ED0"/>
    <w:rsid w:val="007160A0"/>
    <w:rsid w:val="007160D7"/>
    <w:rsid w:val="0071610C"/>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B8F"/>
    <w:rsid w:val="00723D92"/>
    <w:rsid w:val="00723E02"/>
    <w:rsid w:val="00724199"/>
    <w:rsid w:val="007246A4"/>
    <w:rsid w:val="007247E8"/>
    <w:rsid w:val="00724837"/>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7E7"/>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167"/>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3A5"/>
    <w:rsid w:val="00770ADE"/>
    <w:rsid w:val="00770B98"/>
    <w:rsid w:val="00770D3D"/>
    <w:rsid w:val="00771097"/>
    <w:rsid w:val="007712B5"/>
    <w:rsid w:val="00771826"/>
    <w:rsid w:val="00771833"/>
    <w:rsid w:val="00772124"/>
    <w:rsid w:val="0077289A"/>
    <w:rsid w:val="00772C6A"/>
    <w:rsid w:val="00773059"/>
    <w:rsid w:val="00773852"/>
    <w:rsid w:val="007738AD"/>
    <w:rsid w:val="00773AE7"/>
    <w:rsid w:val="007745F7"/>
    <w:rsid w:val="00774C11"/>
    <w:rsid w:val="00774CF2"/>
    <w:rsid w:val="0077515E"/>
    <w:rsid w:val="007752CE"/>
    <w:rsid w:val="00775771"/>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3B7"/>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668"/>
    <w:rsid w:val="007968AD"/>
    <w:rsid w:val="007969EB"/>
    <w:rsid w:val="00796DC4"/>
    <w:rsid w:val="0079713A"/>
    <w:rsid w:val="007977D4"/>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D86"/>
    <w:rsid w:val="007A4F99"/>
    <w:rsid w:val="007A5557"/>
    <w:rsid w:val="007A575C"/>
    <w:rsid w:val="007A587D"/>
    <w:rsid w:val="007A5976"/>
    <w:rsid w:val="007A60DE"/>
    <w:rsid w:val="007A6171"/>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3CD"/>
    <w:rsid w:val="007C44A8"/>
    <w:rsid w:val="007C451E"/>
    <w:rsid w:val="007C4624"/>
    <w:rsid w:val="007C46DC"/>
    <w:rsid w:val="007C470D"/>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2DC"/>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401"/>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839"/>
    <w:rsid w:val="00803C4E"/>
    <w:rsid w:val="00803CDE"/>
    <w:rsid w:val="00803E5D"/>
    <w:rsid w:val="0080404E"/>
    <w:rsid w:val="008042B1"/>
    <w:rsid w:val="008043B2"/>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B01"/>
    <w:rsid w:val="00812DB4"/>
    <w:rsid w:val="008130F2"/>
    <w:rsid w:val="008133B0"/>
    <w:rsid w:val="00813735"/>
    <w:rsid w:val="0081385D"/>
    <w:rsid w:val="008138A8"/>
    <w:rsid w:val="00814252"/>
    <w:rsid w:val="008142E4"/>
    <w:rsid w:val="0081444B"/>
    <w:rsid w:val="00814722"/>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506"/>
    <w:rsid w:val="008249E7"/>
    <w:rsid w:val="00824A1A"/>
    <w:rsid w:val="00824B76"/>
    <w:rsid w:val="00824F25"/>
    <w:rsid w:val="00825391"/>
    <w:rsid w:val="0082553E"/>
    <w:rsid w:val="008255DA"/>
    <w:rsid w:val="008255DD"/>
    <w:rsid w:val="00825929"/>
    <w:rsid w:val="008259E0"/>
    <w:rsid w:val="00825AC4"/>
    <w:rsid w:val="00825C52"/>
    <w:rsid w:val="00825E61"/>
    <w:rsid w:val="00826042"/>
    <w:rsid w:val="0082645E"/>
    <w:rsid w:val="00826760"/>
    <w:rsid w:val="00826836"/>
    <w:rsid w:val="00826A41"/>
    <w:rsid w:val="00826C23"/>
    <w:rsid w:val="008272C5"/>
    <w:rsid w:val="008273D2"/>
    <w:rsid w:val="00827516"/>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37FD"/>
    <w:rsid w:val="0083404A"/>
    <w:rsid w:val="00834143"/>
    <w:rsid w:val="00834235"/>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404"/>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D70"/>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82"/>
    <w:rsid w:val="00871BAA"/>
    <w:rsid w:val="00871ED7"/>
    <w:rsid w:val="008723C7"/>
    <w:rsid w:val="00872920"/>
    <w:rsid w:val="00872BA9"/>
    <w:rsid w:val="00872D14"/>
    <w:rsid w:val="00872EDF"/>
    <w:rsid w:val="008731AD"/>
    <w:rsid w:val="00873859"/>
    <w:rsid w:val="00874B31"/>
    <w:rsid w:val="00874DA1"/>
    <w:rsid w:val="008756F1"/>
    <w:rsid w:val="0087585D"/>
    <w:rsid w:val="00875ADB"/>
    <w:rsid w:val="0087607F"/>
    <w:rsid w:val="008760BF"/>
    <w:rsid w:val="0087613C"/>
    <w:rsid w:val="00876243"/>
    <w:rsid w:val="00876248"/>
    <w:rsid w:val="00877543"/>
    <w:rsid w:val="00877B22"/>
    <w:rsid w:val="00877E32"/>
    <w:rsid w:val="00877E93"/>
    <w:rsid w:val="00880148"/>
    <w:rsid w:val="0088061E"/>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C28"/>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637"/>
    <w:rsid w:val="008A2893"/>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131"/>
    <w:rsid w:val="008A79A4"/>
    <w:rsid w:val="008A7AC6"/>
    <w:rsid w:val="008A7CEC"/>
    <w:rsid w:val="008A7FB8"/>
    <w:rsid w:val="008B0004"/>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170"/>
    <w:rsid w:val="008C0239"/>
    <w:rsid w:val="008C035A"/>
    <w:rsid w:val="008C05B1"/>
    <w:rsid w:val="008C0856"/>
    <w:rsid w:val="008C0928"/>
    <w:rsid w:val="008C0939"/>
    <w:rsid w:val="008C099C"/>
    <w:rsid w:val="008C119D"/>
    <w:rsid w:val="008C14D9"/>
    <w:rsid w:val="008C16B1"/>
    <w:rsid w:val="008C18CC"/>
    <w:rsid w:val="008C19D3"/>
    <w:rsid w:val="008C1EC0"/>
    <w:rsid w:val="008C2162"/>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0BC"/>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AE4"/>
    <w:rsid w:val="008E2DCD"/>
    <w:rsid w:val="008E2EF2"/>
    <w:rsid w:val="008E2F6C"/>
    <w:rsid w:val="008E2FF8"/>
    <w:rsid w:val="008E340C"/>
    <w:rsid w:val="008E394E"/>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0D0"/>
    <w:rsid w:val="008F42F4"/>
    <w:rsid w:val="008F4442"/>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2A98"/>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75"/>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17B91"/>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652"/>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47D8F"/>
    <w:rsid w:val="00950266"/>
    <w:rsid w:val="009505D9"/>
    <w:rsid w:val="00950949"/>
    <w:rsid w:val="00950A4A"/>
    <w:rsid w:val="00950E50"/>
    <w:rsid w:val="00950E64"/>
    <w:rsid w:val="00950E84"/>
    <w:rsid w:val="00950F9D"/>
    <w:rsid w:val="00950FBF"/>
    <w:rsid w:val="00951151"/>
    <w:rsid w:val="009513B7"/>
    <w:rsid w:val="0095140C"/>
    <w:rsid w:val="009516A7"/>
    <w:rsid w:val="0095189E"/>
    <w:rsid w:val="00951AA4"/>
    <w:rsid w:val="00951AF8"/>
    <w:rsid w:val="00952031"/>
    <w:rsid w:val="009524C9"/>
    <w:rsid w:val="00952988"/>
    <w:rsid w:val="009529DF"/>
    <w:rsid w:val="009529F1"/>
    <w:rsid w:val="00952A6B"/>
    <w:rsid w:val="00952C01"/>
    <w:rsid w:val="00952E6F"/>
    <w:rsid w:val="00952F1B"/>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9C"/>
    <w:rsid w:val="009739F0"/>
    <w:rsid w:val="00973A69"/>
    <w:rsid w:val="00973C88"/>
    <w:rsid w:val="00973F32"/>
    <w:rsid w:val="0097422E"/>
    <w:rsid w:val="009742A0"/>
    <w:rsid w:val="0097439A"/>
    <w:rsid w:val="009748F5"/>
    <w:rsid w:val="00974BB7"/>
    <w:rsid w:val="00974F35"/>
    <w:rsid w:val="00975249"/>
    <w:rsid w:val="00975642"/>
    <w:rsid w:val="009757BB"/>
    <w:rsid w:val="009760F9"/>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06"/>
    <w:rsid w:val="00990F75"/>
    <w:rsid w:val="0099110F"/>
    <w:rsid w:val="00991279"/>
    <w:rsid w:val="00991342"/>
    <w:rsid w:val="009913E6"/>
    <w:rsid w:val="009914CB"/>
    <w:rsid w:val="00991657"/>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66AF"/>
    <w:rsid w:val="009970A4"/>
    <w:rsid w:val="00997860"/>
    <w:rsid w:val="009978C5"/>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E75"/>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20D"/>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BE1"/>
    <w:rsid w:val="00A03E82"/>
    <w:rsid w:val="00A041F4"/>
    <w:rsid w:val="00A0436D"/>
    <w:rsid w:val="00A04A84"/>
    <w:rsid w:val="00A04BCD"/>
    <w:rsid w:val="00A0599E"/>
    <w:rsid w:val="00A05BFF"/>
    <w:rsid w:val="00A0607D"/>
    <w:rsid w:val="00A061EC"/>
    <w:rsid w:val="00A06394"/>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743"/>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2F43"/>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F59"/>
    <w:rsid w:val="00A46FE4"/>
    <w:rsid w:val="00A4724B"/>
    <w:rsid w:val="00A478F5"/>
    <w:rsid w:val="00A47C67"/>
    <w:rsid w:val="00A47D6B"/>
    <w:rsid w:val="00A47EB6"/>
    <w:rsid w:val="00A47ECA"/>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E83"/>
    <w:rsid w:val="00A53F96"/>
    <w:rsid w:val="00A540AC"/>
    <w:rsid w:val="00A5412F"/>
    <w:rsid w:val="00A54809"/>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0AC0"/>
    <w:rsid w:val="00A60DB9"/>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66B"/>
    <w:rsid w:val="00A64E74"/>
    <w:rsid w:val="00A6504A"/>
    <w:rsid w:val="00A654BF"/>
    <w:rsid w:val="00A655A7"/>
    <w:rsid w:val="00A657D8"/>
    <w:rsid w:val="00A65B7A"/>
    <w:rsid w:val="00A65CD3"/>
    <w:rsid w:val="00A65F95"/>
    <w:rsid w:val="00A6624D"/>
    <w:rsid w:val="00A662AC"/>
    <w:rsid w:val="00A6652E"/>
    <w:rsid w:val="00A66746"/>
    <w:rsid w:val="00A669E0"/>
    <w:rsid w:val="00A66A20"/>
    <w:rsid w:val="00A66B1A"/>
    <w:rsid w:val="00A67260"/>
    <w:rsid w:val="00A6728D"/>
    <w:rsid w:val="00A67496"/>
    <w:rsid w:val="00A6757D"/>
    <w:rsid w:val="00A67659"/>
    <w:rsid w:val="00A67C41"/>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026"/>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093"/>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C76"/>
    <w:rsid w:val="00AA0F9A"/>
    <w:rsid w:val="00AA1385"/>
    <w:rsid w:val="00AA14A7"/>
    <w:rsid w:val="00AA17CA"/>
    <w:rsid w:val="00AA1BBE"/>
    <w:rsid w:val="00AA1C4C"/>
    <w:rsid w:val="00AA1FD5"/>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3FF3"/>
    <w:rsid w:val="00AC4067"/>
    <w:rsid w:val="00AC42F2"/>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0C"/>
    <w:rsid w:val="00AC79E0"/>
    <w:rsid w:val="00AC7A81"/>
    <w:rsid w:val="00AD0415"/>
    <w:rsid w:val="00AD0419"/>
    <w:rsid w:val="00AD0BBC"/>
    <w:rsid w:val="00AD0D29"/>
    <w:rsid w:val="00AD1012"/>
    <w:rsid w:val="00AD159C"/>
    <w:rsid w:val="00AD1AE6"/>
    <w:rsid w:val="00AD1CEC"/>
    <w:rsid w:val="00AD2388"/>
    <w:rsid w:val="00AD2CED"/>
    <w:rsid w:val="00AD2CF3"/>
    <w:rsid w:val="00AD2E31"/>
    <w:rsid w:val="00AD2E72"/>
    <w:rsid w:val="00AD2EF6"/>
    <w:rsid w:val="00AD3106"/>
    <w:rsid w:val="00AD3123"/>
    <w:rsid w:val="00AD34CF"/>
    <w:rsid w:val="00AD3886"/>
    <w:rsid w:val="00AD399D"/>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444"/>
    <w:rsid w:val="00AE79B5"/>
    <w:rsid w:val="00AE79EA"/>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50"/>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068"/>
    <w:rsid w:val="00B04240"/>
    <w:rsid w:val="00B04C18"/>
    <w:rsid w:val="00B04ED9"/>
    <w:rsid w:val="00B04F9D"/>
    <w:rsid w:val="00B055EB"/>
    <w:rsid w:val="00B056D8"/>
    <w:rsid w:val="00B05741"/>
    <w:rsid w:val="00B06111"/>
    <w:rsid w:val="00B062A5"/>
    <w:rsid w:val="00B063DC"/>
    <w:rsid w:val="00B06862"/>
    <w:rsid w:val="00B068D0"/>
    <w:rsid w:val="00B072F4"/>
    <w:rsid w:val="00B07A37"/>
    <w:rsid w:val="00B07B3A"/>
    <w:rsid w:val="00B07C5E"/>
    <w:rsid w:val="00B1029E"/>
    <w:rsid w:val="00B10301"/>
    <w:rsid w:val="00B1039A"/>
    <w:rsid w:val="00B1064D"/>
    <w:rsid w:val="00B10DED"/>
    <w:rsid w:val="00B10F7F"/>
    <w:rsid w:val="00B1113A"/>
    <w:rsid w:val="00B11349"/>
    <w:rsid w:val="00B1173D"/>
    <w:rsid w:val="00B11B0A"/>
    <w:rsid w:val="00B11C49"/>
    <w:rsid w:val="00B11FAD"/>
    <w:rsid w:val="00B12377"/>
    <w:rsid w:val="00B12ECA"/>
    <w:rsid w:val="00B133CE"/>
    <w:rsid w:val="00B133D7"/>
    <w:rsid w:val="00B1353E"/>
    <w:rsid w:val="00B13E62"/>
    <w:rsid w:val="00B147B8"/>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ADA"/>
    <w:rsid w:val="00B21B89"/>
    <w:rsid w:val="00B21E02"/>
    <w:rsid w:val="00B2215E"/>
    <w:rsid w:val="00B2237A"/>
    <w:rsid w:val="00B223F4"/>
    <w:rsid w:val="00B22AA8"/>
    <w:rsid w:val="00B22F97"/>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C92"/>
    <w:rsid w:val="00B31F89"/>
    <w:rsid w:val="00B32918"/>
    <w:rsid w:val="00B333C6"/>
    <w:rsid w:val="00B335F4"/>
    <w:rsid w:val="00B3378E"/>
    <w:rsid w:val="00B3392B"/>
    <w:rsid w:val="00B339C4"/>
    <w:rsid w:val="00B33F15"/>
    <w:rsid w:val="00B342FC"/>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05F"/>
    <w:rsid w:val="00B46289"/>
    <w:rsid w:val="00B46D79"/>
    <w:rsid w:val="00B46FD2"/>
    <w:rsid w:val="00B475E2"/>
    <w:rsid w:val="00B47941"/>
    <w:rsid w:val="00B47CD8"/>
    <w:rsid w:val="00B47E9D"/>
    <w:rsid w:val="00B50219"/>
    <w:rsid w:val="00B504C3"/>
    <w:rsid w:val="00B50943"/>
    <w:rsid w:val="00B50B1F"/>
    <w:rsid w:val="00B50C1B"/>
    <w:rsid w:val="00B5108B"/>
    <w:rsid w:val="00B515F1"/>
    <w:rsid w:val="00B51A89"/>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57D77"/>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301"/>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9F9"/>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4DC0"/>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27"/>
    <w:rsid w:val="00B81C91"/>
    <w:rsid w:val="00B81E80"/>
    <w:rsid w:val="00B81F7E"/>
    <w:rsid w:val="00B8214A"/>
    <w:rsid w:val="00B826E3"/>
    <w:rsid w:val="00B82C96"/>
    <w:rsid w:val="00B82D7D"/>
    <w:rsid w:val="00B82FAE"/>
    <w:rsid w:val="00B836CE"/>
    <w:rsid w:val="00B838D0"/>
    <w:rsid w:val="00B83C6C"/>
    <w:rsid w:val="00B83D90"/>
    <w:rsid w:val="00B842EA"/>
    <w:rsid w:val="00B84337"/>
    <w:rsid w:val="00B844B2"/>
    <w:rsid w:val="00B85096"/>
    <w:rsid w:val="00B854C6"/>
    <w:rsid w:val="00B8564B"/>
    <w:rsid w:val="00B856B0"/>
    <w:rsid w:val="00B859ED"/>
    <w:rsid w:val="00B85E2A"/>
    <w:rsid w:val="00B86308"/>
    <w:rsid w:val="00B864FD"/>
    <w:rsid w:val="00B868B7"/>
    <w:rsid w:val="00B869AF"/>
    <w:rsid w:val="00B86C76"/>
    <w:rsid w:val="00B86D39"/>
    <w:rsid w:val="00B871BC"/>
    <w:rsid w:val="00B87869"/>
    <w:rsid w:val="00B9033C"/>
    <w:rsid w:val="00B9072D"/>
    <w:rsid w:val="00B909D6"/>
    <w:rsid w:val="00B90C71"/>
    <w:rsid w:val="00B9125D"/>
    <w:rsid w:val="00B91387"/>
    <w:rsid w:val="00B91572"/>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0F"/>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3DB"/>
    <w:rsid w:val="00BB456F"/>
    <w:rsid w:val="00BB4632"/>
    <w:rsid w:val="00BB46D0"/>
    <w:rsid w:val="00BB4BA0"/>
    <w:rsid w:val="00BB51CB"/>
    <w:rsid w:val="00BB5804"/>
    <w:rsid w:val="00BB5996"/>
    <w:rsid w:val="00BB6012"/>
    <w:rsid w:val="00BB619E"/>
    <w:rsid w:val="00BB61D1"/>
    <w:rsid w:val="00BB6819"/>
    <w:rsid w:val="00BB6C13"/>
    <w:rsid w:val="00BB6CEE"/>
    <w:rsid w:val="00BB6FA8"/>
    <w:rsid w:val="00BB7178"/>
    <w:rsid w:val="00BB7BF8"/>
    <w:rsid w:val="00BC015E"/>
    <w:rsid w:val="00BC03B1"/>
    <w:rsid w:val="00BC07E1"/>
    <w:rsid w:val="00BC1010"/>
    <w:rsid w:val="00BC1093"/>
    <w:rsid w:val="00BC1519"/>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6F7"/>
    <w:rsid w:val="00BC6BF5"/>
    <w:rsid w:val="00BC6E3A"/>
    <w:rsid w:val="00BC6EEE"/>
    <w:rsid w:val="00BC7320"/>
    <w:rsid w:val="00BC743F"/>
    <w:rsid w:val="00BC7608"/>
    <w:rsid w:val="00BC77FB"/>
    <w:rsid w:val="00BC7A50"/>
    <w:rsid w:val="00BC7B0C"/>
    <w:rsid w:val="00BC7F3D"/>
    <w:rsid w:val="00BD0386"/>
    <w:rsid w:val="00BD0518"/>
    <w:rsid w:val="00BD07A9"/>
    <w:rsid w:val="00BD07AE"/>
    <w:rsid w:val="00BD086D"/>
    <w:rsid w:val="00BD0932"/>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60B"/>
    <w:rsid w:val="00BD698A"/>
    <w:rsid w:val="00BD6DC8"/>
    <w:rsid w:val="00BD6EC4"/>
    <w:rsid w:val="00BD709D"/>
    <w:rsid w:val="00BD7238"/>
    <w:rsid w:val="00BD75D1"/>
    <w:rsid w:val="00BD75EE"/>
    <w:rsid w:val="00BD780E"/>
    <w:rsid w:val="00BD7829"/>
    <w:rsid w:val="00BD7F54"/>
    <w:rsid w:val="00BE038F"/>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1"/>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AC8"/>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939"/>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1E6"/>
    <w:rsid w:val="00C032A8"/>
    <w:rsid w:val="00C033AE"/>
    <w:rsid w:val="00C0349D"/>
    <w:rsid w:val="00C03DBF"/>
    <w:rsid w:val="00C03F2C"/>
    <w:rsid w:val="00C0410F"/>
    <w:rsid w:val="00C04422"/>
    <w:rsid w:val="00C0466C"/>
    <w:rsid w:val="00C04874"/>
    <w:rsid w:val="00C04C1B"/>
    <w:rsid w:val="00C04D96"/>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4A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39D1"/>
    <w:rsid w:val="00C1427A"/>
    <w:rsid w:val="00C14B5E"/>
    <w:rsid w:val="00C14ECC"/>
    <w:rsid w:val="00C14F73"/>
    <w:rsid w:val="00C1514B"/>
    <w:rsid w:val="00C155EB"/>
    <w:rsid w:val="00C15AEA"/>
    <w:rsid w:val="00C15B96"/>
    <w:rsid w:val="00C15BB7"/>
    <w:rsid w:val="00C16022"/>
    <w:rsid w:val="00C161A1"/>
    <w:rsid w:val="00C16AD8"/>
    <w:rsid w:val="00C16D8D"/>
    <w:rsid w:val="00C16E0F"/>
    <w:rsid w:val="00C171A8"/>
    <w:rsid w:val="00C17A13"/>
    <w:rsid w:val="00C20BC0"/>
    <w:rsid w:val="00C21AB5"/>
    <w:rsid w:val="00C21D49"/>
    <w:rsid w:val="00C21D70"/>
    <w:rsid w:val="00C221E6"/>
    <w:rsid w:val="00C2241D"/>
    <w:rsid w:val="00C2280E"/>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27DF8"/>
    <w:rsid w:val="00C30763"/>
    <w:rsid w:val="00C3096D"/>
    <w:rsid w:val="00C309D2"/>
    <w:rsid w:val="00C310A5"/>
    <w:rsid w:val="00C313A7"/>
    <w:rsid w:val="00C32524"/>
    <w:rsid w:val="00C32967"/>
    <w:rsid w:val="00C32C00"/>
    <w:rsid w:val="00C32D43"/>
    <w:rsid w:val="00C32DD5"/>
    <w:rsid w:val="00C33759"/>
    <w:rsid w:val="00C33F71"/>
    <w:rsid w:val="00C34552"/>
    <w:rsid w:val="00C34638"/>
    <w:rsid w:val="00C3489C"/>
    <w:rsid w:val="00C34F49"/>
    <w:rsid w:val="00C34F75"/>
    <w:rsid w:val="00C35560"/>
    <w:rsid w:val="00C35602"/>
    <w:rsid w:val="00C35615"/>
    <w:rsid w:val="00C3573F"/>
    <w:rsid w:val="00C35BE5"/>
    <w:rsid w:val="00C36048"/>
    <w:rsid w:val="00C3613F"/>
    <w:rsid w:val="00C3629F"/>
    <w:rsid w:val="00C369BB"/>
    <w:rsid w:val="00C36CC7"/>
    <w:rsid w:val="00C36DC6"/>
    <w:rsid w:val="00C373CB"/>
    <w:rsid w:val="00C37453"/>
    <w:rsid w:val="00C378D8"/>
    <w:rsid w:val="00C37ABE"/>
    <w:rsid w:val="00C37F3C"/>
    <w:rsid w:val="00C37F63"/>
    <w:rsid w:val="00C405CD"/>
    <w:rsid w:val="00C40630"/>
    <w:rsid w:val="00C4082F"/>
    <w:rsid w:val="00C40C64"/>
    <w:rsid w:val="00C40D2A"/>
    <w:rsid w:val="00C40F5F"/>
    <w:rsid w:val="00C410AE"/>
    <w:rsid w:val="00C410AF"/>
    <w:rsid w:val="00C41123"/>
    <w:rsid w:val="00C41525"/>
    <w:rsid w:val="00C41774"/>
    <w:rsid w:val="00C41929"/>
    <w:rsid w:val="00C41D3F"/>
    <w:rsid w:val="00C41DA4"/>
    <w:rsid w:val="00C4241E"/>
    <w:rsid w:val="00C428DB"/>
    <w:rsid w:val="00C42913"/>
    <w:rsid w:val="00C429FA"/>
    <w:rsid w:val="00C42B64"/>
    <w:rsid w:val="00C42BC0"/>
    <w:rsid w:val="00C42CC7"/>
    <w:rsid w:val="00C42E56"/>
    <w:rsid w:val="00C42E75"/>
    <w:rsid w:val="00C43A79"/>
    <w:rsid w:val="00C43DEA"/>
    <w:rsid w:val="00C43F4E"/>
    <w:rsid w:val="00C44244"/>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634"/>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29B"/>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6A6"/>
    <w:rsid w:val="00C727FB"/>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4F"/>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53E4"/>
    <w:rsid w:val="00C95748"/>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25"/>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248"/>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882"/>
    <w:rsid w:val="00CC49FD"/>
    <w:rsid w:val="00CC4AC6"/>
    <w:rsid w:val="00CC4E22"/>
    <w:rsid w:val="00CC52E4"/>
    <w:rsid w:val="00CC532D"/>
    <w:rsid w:val="00CC543B"/>
    <w:rsid w:val="00CC56F1"/>
    <w:rsid w:val="00CC5E0D"/>
    <w:rsid w:val="00CC5F3D"/>
    <w:rsid w:val="00CC679E"/>
    <w:rsid w:val="00CC6F7D"/>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856"/>
    <w:rsid w:val="00CF0ABB"/>
    <w:rsid w:val="00CF0C5C"/>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72D"/>
    <w:rsid w:val="00D019B9"/>
    <w:rsid w:val="00D01BDB"/>
    <w:rsid w:val="00D02346"/>
    <w:rsid w:val="00D0248A"/>
    <w:rsid w:val="00D025C1"/>
    <w:rsid w:val="00D026B8"/>
    <w:rsid w:val="00D0285E"/>
    <w:rsid w:val="00D02D02"/>
    <w:rsid w:val="00D02E8A"/>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4CB"/>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145D"/>
    <w:rsid w:val="00D318DC"/>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5DB"/>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3F4C"/>
    <w:rsid w:val="00D43FCA"/>
    <w:rsid w:val="00D44A69"/>
    <w:rsid w:val="00D44C15"/>
    <w:rsid w:val="00D44F42"/>
    <w:rsid w:val="00D450E3"/>
    <w:rsid w:val="00D458CA"/>
    <w:rsid w:val="00D45C52"/>
    <w:rsid w:val="00D462BB"/>
    <w:rsid w:val="00D463ED"/>
    <w:rsid w:val="00D46A50"/>
    <w:rsid w:val="00D47294"/>
    <w:rsid w:val="00D475FF"/>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279"/>
    <w:rsid w:val="00D643AB"/>
    <w:rsid w:val="00D644D3"/>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962"/>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08EF"/>
    <w:rsid w:val="00D91392"/>
    <w:rsid w:val="00D9191F"/>
    <w:rsid w:val="00D91D22"/>
    <w:rsid w:val="00D92198"/>
    <w:rsid w:val="00D921AB"/>
    <w:rsid w:val="00D92DE4"/>
    <w:rsid w:val="00D931EC"/>
    <w:rsid w:val="00D9338C"/>
    <w:rsid w:val="00D93800"/>
    <w:rsid w:val="00D939A6"/>
    <w:rsid w:val="00D93B9C"/>
    <w:rsid w:val="00D93C03"/>
    <w:rsid w:val="00D93DE7"/>
    <w:rsid w:val="00D940DF"/>
    <w:rsid w:val="00D940EE"/>
    <w:rsid w:val="00D941C2"/>
    <w:rsid w:val="00D942CE"/>
    <w:rsid w:val="00D948CA"/>
    <w:rsid w:val="00D94A28"/>
    <w:rsid w:val="00D94A3A"/>
    <w:rsid w:val="00D94E98"/>
    <w:rsid w:val="00D950C6"/>
    <w:rsid w:val="00D9587D"/>
    <w:rsid w:val="00D95BC4"/>
    <w:rsid w:val="00D96304"/>
    <w:rsid w:val="00D96308"/>
    <w:rsid w:val="00D967D3"/>
    <w:rsid w:val="00D96E4D"/>
    <w:rsid w:val="00D975E0"/>
    <w:rsid w:val="00D978E4"/>
    <w:rsid w:val="00D97E2A"/>
    <w:rsid w:val="00DA02C5"/>
    <w:rsid w:val="00DA0CCC"/>
    <w:rsid w:val="00DA0FE0"/>
    <w:rsid w:val="00DA125A"/>
    <w:rsid w:val="00DA134E"/>
    <w:rsid w:val="00DA16C5"/>
    <w:rsid w:val="00DA1F2A"/>
    <w:rsid w:val="00DA229C"/>
    <w:rsid w:val="00DA2CB9"/>
    <w:rsid w:val="00DA2F15"/>
    <w:rsid w:val="00DA328B"/>
    <w:rsid w:val="00DA3296"/>
    <w:rsid w:val="00DA33D5"/>
    <w:rsid w:val="00DA3531"/>
    <w:rsid w:val="00DA3EC1"/>
    <w:rsid w:val="00DA3F4D"/>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C98"/>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A3"/>
    <w:rsid w:val="00DB50EF"/>
    <w:rsid w:val="00DB546B"/>
    <w:rsid w:val="00DB5767"/>
    <w:rsid w:val="00DB5BF5"/>
    <w:rsid w:val="00DB5D4A"/>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59B"/>
    <w:rsid w:val="00DC19AE"/>
    <w:rsid w:val="00DC1C08"/>
    <w:rsid w:val="00DC25A3"/>
    <w:rsid w:val="00DC271F"/>
    <w:rsid w:val="00DC2779"/>
    <w:rsid w:val="00DC2A9E"/>
    <w:rsid w:val="00DC2C8D"/>
    <w:rsid w:val="00DC300A"/>
    <w:rsid w:val="00DC30FF"/>
    <w:rsid w:val="00DC3161"/>
    <w:rsid w:val="00DC32A3"/>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FB5"/>
    <w:rsid w:val="00DF0359"/>
    <w:rsid w:val="00DF0A5F"/>
    <w:rsid w:val="00DF0D0E"/>
    <w:rsid w:val="00DF0EF1"/>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291"/>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562"/>
    <w:rsid w:val="00E1393E"/>
    <w:rsid w:val="00E13CB3"/>
    <w:rsid w:val="00E13D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71"/>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25E"/>
    <w:rsid w:val="00E26915"/>
    <w:rsid w:val="00E26B3C"/>
    <w:rsid w:val="00E26EFC"/>
    <w:rsid w:val="00E271E7"/>
    <w:rsid w:val="00E27480"/>
    <w:rsid w:val="00E276FE"/>
    <w:rsid w:val="00E277EF"/>
    <w:rsid w:val="00E303C3"/>
    <w:rsid w:val="00E30467"/>
    <w:rsid w:val="00E3079D"/>
    <w:rsid w:val="00E30BD9"/>
    <w:rsid w:val="00E30C1B"/>
    <w:rsid w:val="00E31269"/>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18A7"/>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19F"/>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AAB"/>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36"/>
    <w:rsid w:val="00E80AD7"/>
    <w:rsid w:val="00E80B11"/>
    <w:rsid w:val="00E80C76"/>
    <w:rsid w:val="00E80E7A"/>
    <w:rsid w:val="00E80EE9"/>
    <w:rsid w:val="00E80F3A"/>
    <w:rsid w:val="00E81159"/>
    <w:rsid w:val="00E8118F"/>
    <w:rsid w:val="00E818D9"/>
    <w:rsid w:val="00E818E3"/>
    <w:rsid w:val="00E819E9"/>
    <w:rsid w:val="00E8253F"/>
    <w:rsid w:val="00E825C7"/>
    <w:rsid w:val="00E82762"/>
    <w:rsid w:val="00E82B9A"/>
    <w:rsid w:val="00E82E12"/>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753"/>
    <w:rsid w:val="00E87264"/>
    <w:rsid w:val="00E87365"/>
    <w:rsid w:val="00E90035"/>
    <w:rsid w:val="00E90332"/>
    <w:rsid w:val="00E9035C"/>
    <w:rsid w:val="00E90466"/>
    <w:rsid w:val="00E9184A"/>
    <w:rsid w:val="00E91A4D"/>
    <w:rsid w:val="00E91CDB"/>
    <w:rsid w:val="00E91D1A"/>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4E4"/>
    <w:rsid w:val="00E95B7C"/>
    <w:rsid w:val="00E95CC7"/>
    <w:rsid w:val="00E95D17"/>
    <w:rsid w:val="00E96148"/>
    <w:rsid w:val="00E96182"/>
    <w:rsid w:val="00E9640B"/>
    <w:rsid w:val="00E964D0"/>
    <w:rsid w:val="00E96594"/>
    <w:rsid w:val="00E967EF"/>
    <w:rsid w:val="00E96B2B"/>
    <w:rsid w:val="00E96BD9"/>
    <w:rsid w:val="00E9753E"/>
    <w:rsid w:val="00E97AB9"/>
    <w:rsid w:val="00E97F13"/>
    <w:rsid w:val="00E97FDC"/>
    <w:rsid w:val="00EA04E8"/>
    <w:rsid w:val="00EA0A09"/>
    <w:rsid w:val="00EA0BA0"/>
    <w:rsid w:val="00EA0C04"/>
    <w:rsid w:val="00EA0D2F"/>
    <w:rsid w:val="00EA0D91"/>
    <w:rsid w:val="00EA1C16"/>
    <w:rsid w:val="00EA1C57"/>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1F"/>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8FE"/>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020"/>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3F"/>
    <w:rsid w:val="00ED5BF6"/>
    <w:rsid w:val="00ED5C4B"/>
    <w:rsid w:val="00ED6511"/>
    <w:rsid w:val="00ED6EEF"/>
    <w:rsid w:val="00ED727D"/>
    <w:rsid w:val="00ED7348"/>
    <w:rsid w:val="00ED7590"/>
    <w:rsid w:val="00ED76EE"/>
    <w:rsid w:val="00ED7716"/>
    <w:rsid w:val="00ED77B5"/>
    <w:rsid w:val="00ED78D3"/>
    <w:rsid w:val="00ED7A47"/>
    <w:rsid w:val="00ED7A5E"/>
    <w:rsid w:val="00ED7C0F"/>
    <w:rsid w:val="00ED7E69"/>
    <w:rsid w:val="00ED7FD5"/>
    <w:rsid w:val="00EE00B0"/>
    <w:rsid w:val="00EE0798"/>
    <w:rsid w:val="00EE07A4"/>
    <w:rsid w:val="00EE0E0B"/>
    <w:rsid w:val="00EE14C1"/>
    <w:rsid w:val="00EE15A3"/>
    <w:rsid w:val="00EE16DC"/>
    <w:rsid w:val="00EE186B"/>
    <w:rsid w:val="00EE1B22"/>
    <w:rsid w:val="00EE1C26"/>
    <w:rsid w:val="00EE223E"/>
    <w:rsid w:val="00EE22D3"/>
    <w:rsid w:val="00EE2861"/>
    <w:rsid w:val="00EE297C"/>
    <w:rsid w:val="00EE2986"/>
    <w:rsid w:val="00EE2BEA"/>
    <w:rsid w:val="00EE2CC7"/>
    <w:rsid w:val="00EE2DCE"/>
    <w:rsid w:val="00EE2E15"/>
    <w:rsid w:val="00EE3AF0"/>
    <w:rsid w:val="00EE3EEB"/>
    <w:rsid w:val="00EE40B0"/>
    <w:rsid w:val="00EE4244"/>
    <w:rsid w:val="00EE465E"/>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E7BC2"/>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1E9C"/>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49D"/>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6BC9"/>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4F0"/>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0F80"/>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CF"/>
    <w:rsid w:val="00F621F6"/>
    <w:rsid w:val="00F62721"/>
    <w:rsid w:val="00F62730"/>
    <w:rsid w:val="00F62CB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63F"/>
    <w:rsid w:val="00F747CB"/>
    <w:rsid w:val="00F74A57"/>
    <w:rsid w:val="00F74A77"/>
    <w:rsid w:val="00F74D9C"/>
    <w:rsid w:val="00F74E49"/>
    <w:rsid w:val="00F75368"/>
    <w:rsid w:val="00F75656"/>
    <w:rsid w:val="00F757B3"/>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76"/>
    <w:rsid w:val="00F839F2"/>
    <w:rsid w:val="00F83E7C"/>
    <w:rsid w:val="00F83FA5"/>
    <w:rsid w:val="00F842A8"/>
    <w:rsid w:val="00F845BA"/>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7D2"/>
    <w:rsid w:val="00F879B0"/>
    <w:rsid w:val="00F909C4"/>
    <w:rsid w:val="00F90B00"/>
    <w:rsid w:val="00F90C36"/>
    <w:rsid w:val="00F91479"/>
    <w:rsid w:val="00F916B9"/>
    <w:rsid w:val="00F9172D"/>
    <w:rsid w:val="00F9183C"/>
    <w:rsid w:val="00F91D4B"/>
    <w:rsid w:val="00F92073"/>
    <w:rsid w:val="00F920C4"/>
    <w:rsid w:val="00F9223B"/>
    <w:rsid w:val="00F923B8"/>
    <w:rsid w:val="00F929F5"/>
    <w:rsid w:val="00F92A52"/>
    <w:rsid w:val="00F92B14"/>
    <w:rsid w:val="00F9334A"/>
    <w:rsid w:val="00F937C7"/>
    <w:rsid w:val="00F93BF5"/>
    <w:rsid w:val="00F93EDF"/>
    <w:rsid w:val="00F93FFB"/>
    <w:rsid w:val="00F94215"/>
    <w:rsid w:val="00F942A3"/>
    <w:rsid w:val="00F9463D"/>
    <w:rsid w:val="00F94A0C"/>
    <w:rsid w:val="00F94C3F"/>
    <w:rsid w:val="00F956B8"/>
    <w:rsid w:val="00F956D7"/>
    <w:rsid w:val="00F959FF"/>
    <w:rsid w:val="00F95B9D"/>
    <w:rsid w:val="00F9635B"/>
    <w:rsid w:val="00F968DE"/>
    <w:rsid w:val="00F96BDA"/>
    <w:rsid w:val="00F96DC5"/>
    <w:rsid w:val="00F96E83"/>
    <w:rsid w:val="00F9734F"/>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231"/>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16F"/>
    <w:rsid w:val="00FB024B"/>
    <w:rsid w:val="00FB0254"/>
    <w:rsid w:val="00FB0290"/>
    <w:rsid w:val="00FB045A"/>
    <w:rsid w:val="00FB0508"/>
    <w:rsid w:val="00FB082D"/>
    <w:rsid w:val="00FB089E"/>
    <w:rsid w:val="00FB0A66"/>
    <w:rsid w:val="00FB0B1D"/>
    <w:rsid w:val="00FB0C19"/>
    <w:rsid w:val="00FB0F44"/>
    <w:rsid w:val="00FB1311"/>
    <w:rsid w:val="00FB14A4"/>
    <w:rsid w:val="00FB1501"/>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03"/>
    <w:rsid w:val="00FB78AC"/>
    <w:rsid w:val="00FB7911"/>
    <w:rsid w:val="00FB79A0"/>
    <w:rsid w:val="00FB7BCA"/>
    <w:rsid w:val="00FB7FA3"/>
    <w:rsid w:val="00FC014A"/>
    <w:rsid w:val="00FC0728"/>
    <w:rsid w:val="00FC083E"/>
    <w:rsid w:val="00FC09F2"/>
    <w:rsid w:val="00FC0D66"/>
    <w:rsid w:val="00FC1432"/>
    <w:rsid w:val="00FC148D"/>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5FE9"/>
    <w:rsid w:val="00FC6065"/>
    <w:rsid w:val="00FC6581"/>
    <w:rsid w:val="00FC6836"/>
    <w:rsid w:val="00FC6C51"/>
    <w:rsid w:val="00FC6F48"/>
    <w:rsid w:val="00FC6F5F"/>
    <w:rsid w:val="00FC7014"/>
    <w:rsid w:val="00FC770B"/>
    <w:rsid w:val="00FC7744"/>
    <w:rsid w:val="00FD0146"/>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50DD"/>
    <w:rsid w:val="00FE6228"/>
    <w:rsid w:val="00FE63A1"/>
    <w:rsid w:val="00FE67C2"/>
    <w:rsid w:val="00FE6E02"/>
    <w:rsid w:val="00FE6EF2"/>
    <w:rsid w:val="00FE7248"/>
    <w:rsid w:val="00FE7320"/>
    <w:rsid w:val="00FE7399"/>
    <w:rsid w:val="00FE78D9"/>
    <w:rsid w:val="00FE79EE"/>
    <w:rsid w:val="00FE7D6A"/>
    <w:rsid w:val="00FE7F15"/>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A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660B"/>
    <w:pPr>
      <w:keepNext/>
      <w:numPr>
        <w:numId w:val="1"/>
      </w:numPr>
      <w:outlineLvl w:val="0"/>
    </w:pPr>
    <w:rPr>
      <w:b/>
      <w:bCs/>
      <w:sz w:val="24"/>
      <w:szCs w:val="24"/>
    </w:rPr>
  </w:style>
  <w:style w:type="paragraph" w:styleId="Heading2">
    <w:name w:val="heading 2"/>
    <w:basedOn w:val="Normal"/>
    <w:next w:val="Normal"/>
    <w:link w:val="Heading2Char"/>
    <w:qFormat/>
    <w:rsid w:val="00BD660B"/>
    <w:pPr>
      <w:keepNext/>
      <w:numPr>
        <w:ilvl w:val="1"/>
        <w:numId w:val="1"/>
      </w:numPr>
      <w:outlineLvl w:val="1"/>
    </w:pPr>
    <w:rPr>
      <w:b/>
      <w:bCs/>
      <w:sz w:val="24"/>
      <w:szCs w:val="24"/>
    </w:rPr>
  </w:style>
  <w:style w:type="paragraph" w:styleId="Heading3">
    <w:name w:val="heading 3"/>
    <w:basedOn w:val="Normal"/>
    <w:next w:val="Normal"/>
    <w:link w:val="Heading3Char"/>
    <w:qFormat/>
    <w:rsid w:val="00BD660B"/>
    <w:pPr>
      <w:keepNext/>
      <w:numPr>
        <w:ilvl w:val="2"/>
        <w:numId w:val="1"/>
      </w:numPr>
      <w:outlineLvl w:val="2"/>
    </w:pPr>
    <w:rPr>
      <w:b/>
      <w:bCs/>
      <w:sz w:val="24"/>
      <w:szCs w:val="24"/>
    </w:rPr>
  </w:style>
  <w:style w:type="paragraph" w:styleId="Heading4">
    <w:name w:val="heading 4"/>
    <w:basedOn w:val="Normal"/>
    <w:next w:val="Normal"/>
    <w:link w:val="Heading4Char"/>
    <w:qFormat/>
    <w:rsid w:val="00BD660B"/>
    <w:pPr>
      <w:keepNext/>
      <w:numPr>
        <w:ilvl w:val="3"/>
        <w:numId w:val="1"/>
      </w:numPr>
      <w:outlineLvl w:val="3"/>
    </w:pPr>
    <w:rPr>
      <w:b/>
      <w:bCs/>
      <w:sz w:val="22"/>
      <w:szCs w:val="22"/>
    </w:rPr>
  </w:style>
  <w:style w:type="paragraph" w:styleId="Heading5">
    <w:name w:val="heading 5"/>
    <w:basedOn w:val="Normal"/>
    <w:next w:val="Normal"/>
    <w:link w:val="Heading5Char"/>
    <w:qFormat/>
    <w:rsid w:val="00BD660B"/>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D660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D660B"/>
    <w:pPr>
      <w:numPr>
        <w:ilvl w:val="6"/>
        <w:numId w:val="1"/>
      </w:numPr>
      <w:spacing w:before="240" w:after="60"/>
      <w:outlineLvl w:val="6"/>
    </w:pPr>
    <w:rPr>
      <w:sz w:val="24"/>
      <w:szCs w:val="24"/>
    </w:rPr>
  </w:style>
  <w:style w:type="paragraph" w:styleId="Heading8">
    <w:name w:val="heading 8"/>
    <w:basedOn w:val="Normal"/>
    <w:next w:val="Normal"/>
    <w:link w:val="Heading8Char"/>
    <w:qFormat/>
    <w:rsid w:val="00BD660B"/>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BD660B"/>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aliases w:val="Body of text,arab"/>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aliases w:val="Body of text Char,arab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Header">
    <w:name w:val="header"/>
    <w:basedOn w:val="Normal"/>
    <w:link w:val="HeaderChar"/>
    <w:uiPriority w:val="99"/>
    <w:unhideWhenUsed/>
    <w:rsid w:val="00B04068"/>
    <w:pPr>
      <w:tabs>
        <w:tab w:val="center" w:pos="4513"/>
        <w:tab w:val="right" w:pos="9026"/>
      </w:tabs>
    </w:pPr>
  </w:style>
  <w:style w:type="character" w:customStyle="1" w:styleId="HeaderChar">
    <w:name w:val="Header Char"/>
    <w:basedOn w:val="DefaultParagraphFont"/>
    <w:link w:val="Header"/>
    <w:uiPriority w:val="99"/>
    <w:rsid w:val="00B04068"/>
    <w:rPr>
      <w:rFonts w:ascii="Times New Roman" w:eastAsia="Times New Roman" w:hAnsi="Times New Roman" w:cs="Times New Roman"/>
      <w:sz w:val="20"/>
      <w:szCs w:val="20"/>
    </w:rPr>
  </w:style>
  <w:style w:type="paragraph" w:styleId="FootnoteText">
    <w:name w:val="footnote text"/>
    <w:aliases w:val="f_Footnote,Char, Char,Char Char Char Char,Char Char Char Char Char Char Char Char,Char Char Char Char Char Char Char,Char Char Char,Char Char Char Char Char,Char Char Char1,Footnote Text Char Char,Footnote Text Char1, Char Char Char"/>
    <w:basedOn w:val="Normal"/>
    <w:link w:val="FootnoteTextChar"/>
    <w:uiPriority w:val="99"/>
    <w:unhideWhenUsed/>
    <w:qFormat/>
    <w:rsid w:val="00D02E8A"/>
    <w:pPr>
      <w:spacing w:afterAutospacing="1"/>
      <w:jc w:val="both"/>
    </w:pPr>
    <w:rPr>
      <w:rFonts w:asciiTheme="minorHAnsi" w:eastAsiaTheme="minorHAnsi" w:hAnsiTheme="minorHAnsi" w:cstheme="minorBidi"/>
    </w:rPr>
  </w:style>
  <w:style w:type="character" w:customStyle="1" w:styleId="FootnoteTextChar">
    <w:name w:val="Footnote Text Char"/>
    <w:aliases w:val="f_Footnote Char,Char Char, Char Char,Char Char Char Char Char1,Char Char Char Char Char Char Char Char Char,Char Char Char Char Char Char Char Char1,Char Char Char Char1,Char Char Char Char Char Char,Char Char Char1 Char"/>
    <w:basedOn w:val="DefaultParagraphFont"/>
    <w:link w:val="FootnoteText"/>
    <w:uiPriority w:val="99"/>
    <w:rsid w:val="00D02E8A"/>
    <w:rPr>
      <w:sz w:val="20"/>
      <w:szCs w:val="20"/>
    </w:rPr>
  </w:style>
  <w:style w:type="character" w:styleId="FootnoteReference">
    <w:name w:val="footnote reference"/>
    <w:basedOn w:val="DefaultParagraphFont"/>
    <w:uiPriority w:val="99"/>
    <w:unhideWhenUsed/>
    <w:qFormat/>
    <w:rsid w:val="00D02E8A"/>
    <w:rPr>
      <w:vertAlign w:val="superscript"/>
    </w:rPr>
  </w:style>
  <w:style w:type="character" w:customStyle="1" w:styleId="Heading1Char">
    <w:name w:val="Heading 1 Char"/>
    <w:basedOn w:val="DefaultParagraphFont"/>
    <w:link w:val="Heading1"/>
    <w:rsid w:val="00BD660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D660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D660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D660B"/>
    <w:rPr>
      <w:rFonts w:ascii="Times New Roman" w:eastAsia="Times New Roman" w:hAnsi="Times New Roman" w:cs="Times New Roman"/>
      <w:b/>
      <w:bCs/>
    </w:rPr>
  </w:style>
  <w:style w:type="character" w:customStyle="1" w:styleId="Heading5Char">
    <w:name w:val="Heading 5 Char"/>
    <w:basedOn w:val="DefaultParagraphFont"/>
    <w:link w:val="Heading5"/>
    <w:rsid w:val="00BD660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D660B"/>
    <w:rPr>
      <w:rFonts w:ascii="Times New Roman" w:eastAsia="Times New Roman" w:hAnsi="Times New Roman" w:cs="Times New Roman"/>
      <w:b/>
      <w:bCs/>
    </w:rPr>
  </w:style>
  <w:style w:type="character" w:customStyle="1" w:styleId="Heading7Char">
    <w:name w:val="Heading 7 Char"/>
    <w:basedOn w:val="DefaultParagraphFont"/>
    <w:link w:val="Heading7"/>
    <w:rsid w:val="00BD660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D660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D660B"/>
    <w:rPr>
      <w:rFonts w:ascii="Arial" w:eastAsia="Times New Roman" w:hAnsi="Arial" w:cs="Arial"/>
    </w:rPr>
  </w:style>
  <w:style w:type="paragraph" w:styleId="NormalWeb">
    <w:name w:val="Normal (Web)"/>
    <w:basedOn w:val="Normal"/>
    <w:uiPriority w:val="99"/>
    <w:unhideWhenUsed/>
    <w:rsid w:val="00BD660B"/>
    <w:pPr>
      <w:spacing w:before="100" w:beforeAutospacing="1" w:after="100" w:afterAutospacing="1"/>
    </w:pPr>
    <w:rPr>
      <w:sz w:val="24"/>
      <w:szCs w:val="24"/>
    </w:rPr>
  </w:style>
  <w:style w:type="character" w:styleId="Emphasis">
    <w:name w:val="Emphasis"/>
    <w:basedOn w:val="DefaultParagraphFont"/>
    <w:uiPriority w:val="20"/>
    <w:qFormat/>
    <w:rsid w:val="00BD660B"/>
    <w:rPr>
      <w:i/>
      <w:iCs/>
    </w:rPr>
  </w:style>
  <w:style w:type="table" w:styleId="TableGrid">
    <w:name w:val="Table Grid"/>
    <w:basedOn w:val="TableNormal"/>
    <w:uiPriority w:val="39"/>
    <w:rsid w:val="00BD660B"/>
    <w:pPr>
      <w:spacing w:line="240" w:lineRule="auto"/>
    </w:pPr>
    <w:rPr>
      <w:rFonts w:ascii="Times New Arabic" w:hAnsi="Times New Arabic"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4953DD"/>
    <w:pPr>
      <w:widowControl w:val="0"/>
      <w:autoSpaceDE w:val="0"/>
      <w:autoSpaceDN w:val="0"/>
    </w:pPr>
    <w:rPr>
      <w:sz w:val="24"/>
      <w:szCs w:val="24"/>
    </w:rPr>
  </w:style>
  <w:style w:type="character" w:customStyle="1" w:styleId="BodyTextChar">
    <w:name w:val="Body Text Char"/>
    <w:basedOn w:val="DefaultParagraphFont"/>
    <w:link w:val="BodyText"/>
    <w:uiPriority w:val="1"/>
    <w:rsid w:val="004953DD"/>
    <w:rPr>
      <w:rFonts w:ascii="Times New Roman" w:eastAsia="Times New Roman" w:hAnsi="Times New Roman" w:cs="Times New Roman"/>
      <w:sz w:val="24"/>
      <w:szCs w:val="24"/>
    </w:rPr>
  </w:style>
  <w:style w:type="paragraph" w:customStyle="1" w:styleId="Default">
    <w:name w:val="Default"/>
    <w:rsid w:val="008E2FF8"/>
    <w:pPr>
      <w:autoSpaceDE w:val="0"/>
      <w:autoSpaceDN w:val="0"/>
      <w:adjustRightInd w:val="0"/>
      <w:spacing w:line="240" w:lineRule="auto"/>
    </w:pPr>
    <w:rPr>
      <w:rFonts w:ascii="Code" w:hAnsi="Code" w:cs="Code"/>
      <w:color w:val="000000"/>
      <w:sz w:val="24"/>
      <w:szCs w:val="24"/>
    </w:rPr>
  </w:style>
  <w:style w:type="character" w:customStyle="1" w:styleId="author-name">
    <w:name w:val="author-name"/>
    <w:basedOn w:val="DefaultParagraphFont"/>
    <w:rsid w:val="008E2FF8"/>
  </w:style>
  <w:style w:type="character" w:customStyle="1" w:styleId="fz11px">
    <w:name w:val="fz(11px)"/>
    <w:basedOn w:val="DefaultParagraphFont"/>
    <w:rsid w:val="008E2FF8"/>
  </w:style>
  <w:style w:type="character" w:customStyle="1" w:styleId="hps">
    <w:name w:val="hps"/>
    <w:basedOn w:val="DefaultParagraphFont"/>
    <w:rsid w:val="00A6624D"/>
  </w:style>
  <w:style w:type="character" w:customStyle="1" w:styleId="st">
    <w:name w:val="st"/>
    <w:basedOn w:val="DefaultParagraphFont"/>
    <w:rsid w:val="00A6624D"/>
  </w:style>
  <w:style w:type="paragraph" w:customStyle="1" w:styleId="text">
    <w:name w:val="text"/>
    <w:basedOn w:val="Normal"/>
    <w:rsid w:val="001D1E50"/>
    <w:pPr>
      <w:spacing w:before="100" w:beforeAutospacing="1" w:after="100" w:afterAutospacing="1"/>
    </w:pPr>
    <w:rPr>
      <w:sz w:val="24"/>
      <w:szCs w:val="24"/>
      <w:lang w:val="id-ID" w:eastAsia="id-ID"/>
    </w:rPr>
  </w:style>
  <w:style w:type="character" w:customStyle="1" w:styleId="y2iqfc">
    <w:name w:val="y2iqfc"/>
    <w:basedOn w:val="DefaultParagraphFont"/>
    <w:rsid w:val="0063431D"/>
  </w:style>
  <w:style w:type="paragraph" w:styleId="Bibliography">
    <w:name w:val="Bibliography"/>
    <w:basedOn w:val="Normal"/>
    <w:next w:val="Normal"/>
    <w:uiPriority w:val="37"/>
    <w:unhideWhenUsed/>
    <w:rsid w:val="00CC6F7D"/>
    <w:pPr>
      <w:spacing w:after="200" w:line="276" w:lineRule="auto"/>
    </w:pPr>
    <w:rPr>
      <w:rFonts w:asciiTheme="minorHAnsi" w:eastAsiaTheme="minorHAnsi" w:hAnsiTheme="minorHAnsi" w:cstheme="minorBidi"/>
      <w:sz w:val="22"/>
      <w:szCs w:val="22"/>
      <w:lang w:val="id-ID"/>
    </w:rPr>
  </w:style>
  <w:style w:type="character" w:customStyle="1" w:styleId="skimlinks-unlinked">
    <w:name w:val="skimlinks-unlinked"/>
    <w:basedOn w:val="DefaultParagraphFont"/>
    <w:rsid w:val="00947D8F"/>
  </w:style>
  <w:style w:type="paragraph" w:customStyle="1" w:styleId="Style1">
    <w:name w:val="_Style 1"/>
    <w:basedOn w:val="Normal"/>
    <w:uiPriority w:val="99"/>
    <w:qFormat/>
    <w:rsid w:val="00947D8F"/>
    <w:pPr>
      <w:spacing w:after="200" w:line="276" w:lineRule="auto"/>
      <w:ind w:left="720"/>
      <w:contextualSpacing/>
    </w:pPr>
    <w:rPr>
      <w:rFonts w:eastAsia="SimSun"/>
      <w:sz w:val="22"/>
      <w:szCs w:val="22"/>
      <w:lang w:val="id-ID"/>
    </w:rPr>
  </w:style>
  <w:style w:type="character" w:customStyle="1" w:styleId="blocktext">
    <w:name w:val="blocktext"/>
    <w:basedOn w:val="DefaultParagraphFont"/>
    <w:rsid w:val="00947D8F"/>
  </w:style>
  <w:style w:type="paragraph" w:customStyle="1" w:styleId="arabic">
    <w:name w:val="arabic"/>
    <w:basedOn w:val="Normal"/>
    <w:rsid w:val="00947D8F"/>
    <w:pPr>
      <w:spacing w:before="100" w:beforeAutospacing="1" w:after="100" w:afterAutospacing="1"/>
    </w:pPr>
    <w:rPr>
      <w:sz w:val="24"/>
      <w:szCs w:val="24"/>
    </w:rPr>
  </w:style>
  <w:style w:type="paragraph" w:styleId="Title">
    <w:name w:val="Title"/>
    <w:basedOn w:val="Normal"/>
    <w:link w:val="TitleChar"/>
    <w:qFormat/>
    <w:rsid w:val="003001D3"/>
    <w:pPr>
      <w:jc w:val="center"/>
    </w:pPr>
    <w:rPr>
      <w:b/>
      <w:bCs/>
      <w:sz w:val="28"/>
      <w:szCs w:val="24"/>
      <w:lang w:val="id-ID"/>
    </w:rPr>
  </w:style>
  <w:style w:type="character" w:customStyle="1" w:styleId="TitleChar">
    <w:name w:val="Title Char"/>
    <w:basedOn w:val="DefaultParagraphFont"/>
    <w:link w:val="Title"/>
    <w:rsid w:val="003001D3"/>
    <w:rPr>
      <w:rFonts w:ascii="Times New Roman" w:eastAsia="Times New Roman" w:hAnsi="Times New Roman" w:cs="Times New Roman"/>
      <w:b/>
      <w:bCs/>
      <w:sz w:val="28"/>
      <w:szCs w:val="24"/>
      <w:lang w:val="id-ID"/>
    </w:rPr>
  </w:style>
  <w:style w:type="paragraph" w:customStyle="1" w:styleId="Reference">
    <w:name w:val="Reference"/>
    <w:basedOn w:val="Normal"/>
    <w:rsid w:val="003001D3"/>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0">
    <w:name w:val="Text"/>
    <w:basedOn w:val="Normal"/>
    <w:rsid w:val="003001D3"/>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3001D3"/>
  </w:style>
  <w:style w:type="paragraph" w:styleId="NoSpacing">
    <w:name w:val="No Spacing"/>
    <w:qFormat/>
    <w:rsid w:val="003001D3"/>
    <w:pPr>
      <w:spacing w:line="240" w:lineRule="auto"/>
    </w:pPr>
    <w:rPr>
      <w:rFonts w:ascii="Calibri" w:eastAsia="Calibri" w:hAnsi="Calibri" w:cs="Times New Roman"/>
    </w:rPr>
  </w:style>
  <w:style w:type="paragraph" w:customStyle="1" w:styleId="IEEEReferenceItem">
    <w:name w:val="IEEE Reference Item"/>
    <w:basedOn w:val="Normal"/>
    <w:rsid w:val="003001D3"/>
    <w:pPr>
      <w:adjustRightInd w:val="0"/>
      <w:snapToGrid w:val="0"/>
      <w:ind w:left="360" w:hanging="360"/>
      <w:jc w:val="both"/>
    </w:pPr>
    <w:rPr>
      <w:rFonts w:eastAsia="SimSun"/>
      <w:sz w:val="16"/>
      <w:szCs w:val="24"/>
      <w:lang w:eastAsia="zh-CN"/>
    </w:rPr>
  </w:style>
  <w:style w:type="character" w:customStyle="1" w:styleId="UnresolvedMention">
    <w:name w:val="Unresolved Mention"/>
    <w:basedOn w:val="DefaultParagraphFont"/>
    <w:uiPriority w:val="99"/>
    <w:semiHidden/>
    <w:unhideWhenUsed/>
    <w:rsid w:val="003001D3"/>
    <w:rPr>
      <w:color w:val="605E5C"/>
      <w:shd w:val="clear" w:color="auto" w:fill="E1DFDD"/>
    </w:rPr>
  </w:style>
  <w:style w:type="character" w:customStyle="1" w:styleId="label">
    <w:name w:val="label"/>
    <w:basedOn w:val="DefaultParagraphFont"/>
    <w:rsid w:val="00AD1012"/>
  </w:style>
  <w:style w:type="character" w:customStyle="1" w:styleId="value">
    <w:name w:val="value"/>
    <w:basedOn w:val="DefaultParagraphFont"/>
    <w:rsid w:val="00AD1012"/>
  </w:style>
  <w:style w:type="table" w:styleId="LightShading-Accent5">
    <w:name w:val="Light Shading Accent 5"/>
    <w:basedOn w:val="TableNormal"/>
    <w:uiPriority w:val="60"/>
    <w:rsid w:val="00340462"/>
    <w:pPr>
      <w:spacing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340462"/>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ndnoteReference">
    <w:name w:val="endnote reference"/>
    <w:basedOn w:val="DefaultParagraphFont"/>
    <w:uiPriority w:val="99"/>
    <w:semiHidden/>
    <w:unhideWhenUsed/>
    <w:rsid w:val="00F1649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660B"/>
    <w:pPr>
      <w:keepNext/>
      <w:numPr>
        <w:numId w:val="1"/>
      </w:numPr>
      <w:outlineLvl w:val="0"/>
    </w:pPr>
    <w:rPr>
      <w:b/>
      <w:bCs/>
      <w:sz w:val="24"/>
      <w:szCs w:val="24"/>
    </w:rPr>
  </w:style>
  <w:style w:type="paragraph" w:styleId="Heading2">
    <w:name w:val="heading 2"/>
    <w:basedOn w:val="Normal"/>
    <w:next w:val="Normal"/>
    <w:link w:val="Heading2Char"/>
    <w:qFormat/>
    <w:rsid w:val="00BD660B"/>
    <w:pPr>
      <w:keepNext/>
      <w:numPr>
        <w:ilvl w:val="1"/>
        <w:numId w:val="1"/>
      </w:numPr>
      <w:outlineLvl w:val="1"/>
    </w:pPr>
    <w:rPr>
      <w:b/>
      <w:bCs/>
      <w:sz w:val="24"/>
      <w:szCs w:val="24"/>
    </w:rPr>
  </w:style>
  <w:style w:type="paragraph" w:styleId="Heading3">
    <w:name w:val="heading 3"/>
    <w:basedOn w:val="Normal"/>
    <w:next w:val="Normal"/>
    <w:link w:val="Heading3Char"/>
    <w:qFormat/>
    <w:rsid w:val="00BD660B"/>
    <w:pPr>
      <w:keepNext/>
      <w:numPr>
        <w:ilvl w:val="2"/>
        <w:numId w:val="1"/>
      </w:numPr>
      <w:outlineLvl w:val="2"/>
    </w:pPr>
    <w:rPr>
      <w:b/>
      <w:bCs/>
      <w:sz w:val="24"/>
      <w:szCs w:val="24"/>
    </w:rPr>
  </w:style>
  <w:style w:type="paragraph" w:styleId="Heading4">
    <w:name w:val="heading 4"/>
    <w:basedOn w:val="Normal"/>
    <w:next w:val="Normal"/>
    <w:link w:val="Heading4Char"/>
    <w:qFormat/>
    <w:rsid w:val="00BD660B"/>
    <w:pPr>
      <w:keepNext/>
      <w:numPr>
        <w:ilvl w:val="3"/>
        <w:numId w:val="1"/>
      </w:numPr>
      <w:outlineLvl w:val="3"/>
    </w:pPr>
    <w:rPr>
      <w:b/>
      <w:bCs/>
      <w:sz w:val="22"/>
      <w:szCs w:val="22"/>
    </w:rPr>
  </w:style>
  <w:style w:type="paragraph" w:styleId="Heading5">
    <w:name w:val="heading 5"/>
    <w:basedOn w:val="Normal"/>
    <w:next w:val="Normal"/>
    <w:link w:val="Heading5Char"/>
    <w:qFormat/>
    <w:rsid w:val="00BD660B"/>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BD660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D660B"/>
    <w:pPr>
      <w:numPr>
        <w:ilvl w:val="6"/>
        <w:numId w:val="1"/>
      </w:numPr>
      <w:spacing w:before="240" w:after="60"/>
      <w:outlineLvl w:val="6"/>
    </w:pPr>
    <w:rPr>
      <w:sz w:val="24"/>
      <w:szCs w:val="24"/>
    </w:rPr>
  </w:style>
  <w:style w:type="paragraph" w:styleId="Heading8">
    <w:name w:val="heading 8"/>
    <w:basedOn w:val="Normal"/>
    <w:next w:val="Normal"/>
    <w:link w:val="Heading8Char"/>
    <w:qFormat/>
    <w:rsid w:val="00BD660B"/>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BD660B"/>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aliases w:val="Body of text,arab"/>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aliases w:val="Body of text Char,arab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Header">
    <w:name w:val="header"/>
    <w:basedOn w:val="Normal"/>
    <w:link w:val="HeaderChar"/>
    <w:uiPriority w:val="99"/>
    <w:unhideWhenUsed/>
    <w:rsid w:val="00B04068"/>
    <w:pPr>
      <w:tabs>
        <w:tab w:val="center" w:pos="4513"/>
        <w:tab w:val="right" w:pos="9026"/>
      </w:tabs>
    </w:pPr>
  </w:style>
  <w:style w:type="character" w:customStyle="1" w:styleId="HeaderChar">
    <w:name w:val="Header Char"/>
    <w:basedOn w:val="DefaultParagraphFont"/>
    <w:link w:val="Header"/>
    <w:uiPriority w:val="99"/>
    <w:rsid w:val="00B04068"/>
    <w:rPr>
      <w:rFonts w:ascii="Times New Roman" w:eastAsia="Times New Roman" w:hAnsi="Times New Roman" w:cs="Times New Roman"/>
      <w:sz w:val="20"/>
      <w:szCs w:val="20"/>
    </w:rPr>
  </w:style>
  <w:style w:type="paragraph" w:styleId="FootnoteText">
    <w:name w:val="footnote text"/>
    <w:aliases w:val="f_Footnote,Char, Char,Char Char Char Char,Char Char Char Char Char Char Char Char,Char Char Char Char Char Char Char,Char Char Char,Char Char Char Char Char,Char Char Char1,Footnote Text Char Char,Footnote Text Char1, Char Char Char"/>
    <w:basedOn w:val="Normal"/>
    <w:link w:val="FootnoteTextChar"/>
    <w:uiPriority w:val="99"/>
    <w:unhideWhenUsed/>
    <w:qFormat/>
    <w:rsid w:val="00D02E8A"/>
    <w:pPr>
      <w:spacing w:afterAutospacing="1"/>
      <w:jc w:val="both"/>
    </w:pPr>
    <w:rPr>
      <w:rFonts w:asciiTheme="minorHAnsi" w:eastAsiaTheme="minorHAnsi" w:hAnsiTheme="minorHAnsi" w:cstheme="minorBidi"/>
    </w:rPr>
  </w:style>
  <w:style w:type="character" w:customStyle="1" w:styleId="FootnoteTextChar">
    <w:name w:val="Footnote Text Char"/>
    <w:aliases w:val="f_Footnote Char,Char Char, Char Char,Char Char Char Char Char1,Char Char Char Char Char Char Char Char Char,Char Char Char Char Char Char Char Char1,Char Char Char Char1,Char Char Char Char Char Char,Char Char Char1 Char"/>
    <w:basedOn w:val="DefaultParagraphFont"/>
    <w:link w:val="FootnoteText"/>
    <w:uiPriority w:val="99"/>
    <w:rsid w:val="00D02E8A"/>
    <w:rPr>
      <w:sz w:val="20"/>
      <w:szCs w:val="20"/>
    </w:rPr>
  </w:style>
  <w:style w:type="character" w:styleId="FootnoteReference">
    <w:name w:val="footnote reference"/>
    <w:basedOn w:val="DefaultParagraphFont"/>
    <w:uiPriority w:val="99"/>
    <w:unhideWhenUsed/>
    <w:qFormat/>
    <w:rsid w:val="00D02E8A"/>
    <w:rPr>
      <w:vertAlign w:val="superscript"/>
    </w:rPr>
  </w:style>
  <w:style w:type="character" w:customStyle="1" w:styleId="Heading1Char">
    <w:name w:val="Heading 1 Char"/>
    <w:basedOn w:val="DefaultParagraphFont"/>
    <w:link w:val="Heading1"/>
    <w:rsid w:val="00BD660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BD660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BD660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D660B"/>
    <w:rPr>
      <w:rFonts w:ascii="Times New Roman" w:eastAsia="Times New Roman" w:hAnsi="Times New Roman" w:cs="Times New Roman"/>
      <w:b/>
      <w:bCs/>
    </w:rPr>
  </w:style>
  <w:style w:type="character" w:customStyle="1" w:styleId="Heading5Char">
    <w:name w:val="Heading 5 Char"/>
    <w:basedOn w:val="DefaultParagraphFont"/>
    <w:link w:val="Heading5"/>
    <w:rsid w:val="00BD660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D660B"/>
    <w:rPr>
      <w:rFonts w:ascii="Times New Roman" w:eastAsia="Times New Roman" w:hAnsi="Times New Roman" w:cs="Times New Roman"/>
      <w:b/>
      <w:bCs/>
    </w:rPr>
  </w:style>
  <w:style w:type="character" w:customStyle="1" w:styleId="Heading7Char">
    <w:name w:val="Heading 7 Char"/>
    <w:basedOn w:val="DefaultParagraphFont"/>
    <w:link w:val="Heading7"/>
    <w:rsid w:val="00BD660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D660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D660B"/>
    <w:rPr>
      <w:rFonts w:ascii="Arial" w:eastAsia="Times New Roman" w:hAnsi="Arial" w:cs="Arial"/>
    </w:rPr>
  </w:style>
  <w:style w:type="paragraph" w:styleId="NormalWeb">
    <w:name w:val="Normal (Web)"/>
    <w:basedOn w:val="Normal"/>
    <w:uiPriority w:val="99"/>
    <w:unhideWhenUsed/>
    <w:rsid w:val="00BD660B"/>
    <w:pPr>
      <w:spacing w:before="100" w:beforeAutospacing="1" w:after="100" w:afterAutospacing="1"/>
    </w:pPr>
    <w:rPr>
      <w:sz w:val="24"/>
      <w:szCs w:val="24"/>
    </w:rPr>
  </w:style>
  <w:style w:type="character" w:styleId="Emphasis">
    <w:name w:val="Emphasis"/>
    <w:basedOn w:val="DefaultParagraphFont"/>
    <w:uiPriority w:val="20"/>
    <w:qFormat/>
    <w:rsid w:val="00BD660B"/>
    <w:rPr>
      <w:i/>
      <w:iCs/>
    </w:rPr>
  </w:style>
  <w:style w:type="table" w:styleId="TableGrid">
    <w:name w:val="Table Grid"/>
    <w:basedOn w:val="TableNormal"/>
    <w:uiPriority w:val="39"/>
    <w:rsid w:val="00BD660B"/>
    <w:pPr>
      <w:spacing w:line="240" w:lineRule="auto"/>
    </w:pPr>
    <w:rPr>
      <w:rFonts w:ascii="Times New Arabic" w:hAnsi="Times New Arabic"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4953DD"/>
    <w:pPr>
      <w:widowControl w:val="0"/>
      <w:autoSpaceDE w:val="0"/>
      <w:autoSpaceDN w:val="0"/>
    </w:pPr>
    <w:rPr>
      <w:sz w:val="24"/>
      <w:szCs w:val="24"/>
    </w:rPr>
  </w:style>
  <w:style w:type="character" w:customStyle="1" w:styleId="BodyTextChar">
    <w:name w:val="Body Text Char"/>
    <w:basedOn w:val="DefaultParagraphFont"/>
    <w:link w:val="BodyText"/>
    <w:uiPriority w:val="1"/>
    <w:rsid w:val="004953DD"/>
    <w:rPr>
      <w:rFonts w:ascii="Times New Roman" w:eastAsia="Times New Roman" w:hAnsi="Times New Roman" w:cs="Times New Roman"/>
      <w:sz w:val="24"/>
      <w:szCs w:val="24"/>
    </w:rPr>
  </w:style>
  <w:style w:type="paragraph" w:customStyle="1" w:styleId="Default">
    <w:name w:val="Default"/>
    <w:rsid w:val="008E2FF8"/>
    <w:pPr>
      <w:autoSpaceDE w:val="0"/>
      <w:autoSpaceDN w:val="0"/>
      <w:adjustRightInd w:val="0"/>
      <w:spacing w:line="240" w:lineRule="auto"/>
    </w:pPr>
    <w:rPr>
      <w:rFonts w:ascii="Code" w:hAnsi="Code" w:cs="Code"/>
      <w:color w:val="000000"/>
      <w:sz w:val="24"/>
      <w:szCs w:val="24"/>
    </w:rPr>
  </w:style>
  <w:style w:type="character" w:customStyle="1" w:styleId="author-name">
    <w:name w:val="author-name"/>
    <w:basedOn w:val="DefaultParagraphFont"/>
    <w:rsid w:val="008E2FF8"/>
  </w:style>
  <w:style w:type="character" w:customStyle="1" w:styleId="fz11px">
    <w:name w:val="fz(11px)"/>
    <w:basedOn w:val="DefaultParagraphFont"/>
    <w:rsid w:val="008E2FF8"/>
  </w:style>
  <w:style w:type="character" w:customStyle="1" w:styleId="hps">
    <w:name w:val="hps"/>
    <w:basedOn w:val="DefaultParagraphFont"/>
    <w:rsid w:val="00A6624D"/>
  </w:style>
  <w:style w:type="character" w:customStyle="1" w:styleId="st">
    <w:name w:val="st"/>
    <w:basedOn w:val="DefaultParagraphFont"/>
    <w:rsid w:val="00A6624D"/>
  </w:style>
  <w:style w:type="paragraph" w:customStyle="1" w:styleId="text">
    <w:name w:val="text"/>
    <w:basedOn w:val="Normal"/>
    <w:rsid w:val="001D1E50"/>
    <w:pPr>
      <w:spacing w:before="100" w:beforeAutospacing="1" w:after="100" w:afterAutospacing="1"/>
    </w:pPr>
    <w:rPr>
      <w:sz w:val="24"/>
      <w:szCs w:val="24"/>
      <w:lang w:val="id-ID" w:eastAsia="id-ID"/>
    </w:rPr>
  </w:style>
  <w:style w:type="character" w:customStyle="1" w:styleId="y2iqfc">
    <w:name w:val="y2iqfc"/>
    <w:basedOn w:val="DefaultParagraphFont"/>
    <w:rsid w:val="0063431D"/>
  </w:style>
  <w:style w:type="paragraph" w:styleId="Bibliography">
    <w:name w:val="Bibliography"/>
    <w:basedOn w:val="Normal"/>
    <w:next w:val="Normal"/>
    <w:uiPriority w:val="37"/>
    <w:unhideWhenUsed/>
    <w:rsid w:val="00CC6F7D"/>
    <w:pPr>
      <w:spacing w:after="200" w:line="276" w:lineRule="auto"/>
    </w:pPr>
    <w:rPr>
      <w:rFonts w:asciiTheme="minorHAnsi" w:eastAsiaTheme="minorHAnsi" w:hAnsiTheme="minorHAnsi" w:cstheme="minorBidi"/>
      <w:sz w:val="22"/>
      <w:szCs w:val="22"/>
      <w:lang w:val="id-ID"/>
    </w:rPr>
  </w:style>
  <w:style w:type="character" w:customStyle="1" w:styleId="skimlinks-unlinked">
    <w:name w:val="skimlinks-unlinked"/>
    <w:basedOn w:val="DefaultParagraphFont"/>
    <w:rsid w:val="00947D8F"/>
  </w:style>
  <w:style w:type="paragraph" w:customStyle="1" w:styleId="Style1">
    <w:name w:val="_Style 1"/>
    <w:basedOn w:val="Normal"/>
    <w:uiPriority w:val="99"/>
    <w:qFormat/>
    <w:rsid w:val="00947D8F"/>
    <w:pPr>
      <w:spacing w:after="200" w:line="276" w:lineRule="auto"/>
      <w:ind w:left="720"/>
      <w:contextualSpacing/>
    </w:pPr>
    <w:rPr>
      <w:rFonts w:eastAsia="SimSun"/>
      <w:sz w:val="22"/>
      <w:szCs w:val="22"/>
      <w:lang w:val="id-ID"/>
    </w:rPr>
  </w:style>
  <w:style w:type="character" w:customStyle="1" w:styleId="blocktext">
    <w:name w:val="blocktext"/>
    <w:basedOn w:val="DefaultParagraphFont"/>
    <w:rsid w:val="00947D8F"/>
  </w:style>
  <w:style w:type="paragraph" w:customStyle="1" w:styleId="arabic">
    <w:name w:val="arabic"/>
    <w:basedOn w:val="Normal"/>
    <w:rsid w:val="00947D8F"/>
    <w:pPr>
      <w:spacing w:before="100" w:beforeAutospacing="1" w:after="100" w:afterAutospacing="1"/>
    </w:pPr>
    <w:rPr>
      <w:sz w:val="24"/>
      <w:szCs w:val="24"/>
    </w:rPr>
  </w:style>
  <w:style w:type="paragraph" w:styleId="Title">
    <w:name w:val="Title"/>
    <w:basedOn w:val="Normal"/>
    <w:link w:val="TitleChar"/>
    <w:qFormat/>
    <w:rsid w:val="003001D3"/>
    <w:pPr>
      <w:jc w:val="center"/>
    </w:pPr>
    <w:rPr>
      <w:b/>
      <w:bCs/>
      <w:sz w:val="28"/>
      <w:szCs w:val="24"/>
      <w:lang w:val="id-ID"/>
    </w:rPr>
  </w:style>
  <w:style w:type="character" w:customStyle="1" w:styleId="TitleChar">
    <w:name w:val="Title Char"/>
    <w:basedOn w:val="DefaultParagraphFont"/>
    <w:link w:val="Title"/>
    <w:rsid w:val="003001D3"/>
    <w:rPr>
      <w:rFonts w:ascii="Times New Roman" w:eastAsia="Times New Roman" w:hAnsi="Times New Roman" w:cs="Times New Roman"/>
      <w:b/>
      <w:bCs/>
      <w:sz w:val="28"/>
      <w:szCs w:val="24"/>
      <w:lang w:val="id-ID"/>
    </w:rPr>
  </w:style>
  <w:style w:type="paragraph" w:customStyle="1" w:styleId="Reference">
    <w:name w:val="Reference"/>
    <w:basedOn w:val="Normal"/>
    <w:rsid w:val="003001D3"/>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0">
    <w:name w:val="Text"/>
    <w:basedOn w:val="Normal"/>
    <w:rsid w:val="003001D3"/>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3001D3"/>
  </w:style>
  <w:style w:type="paragraph" w:styleId="NoSpacing">
    <w:name w:val="No Spacing"/>
    <w:qFormat/>
    <w:rsid w:val="003001D3"/>
    <w:pPr>
      <w:spacing w:line="240" w:lineRule="auto"/>
    </w:pPr>
    <w:rPr>
      <w:rFonts w:ascii="Calibri" w:eastAsia="Calibri" w:hAnsi="Calibri" w:cs="Times New Roman"/>
    </w:rPr>
  </w:style>
  <w:style w:type="paragraph" w:customStyle="1" w:styleId="IEEEReferenceItem">
    <w:name w:val="IEEE Reference Item"/>
    <w:basedOn w:val="Normal"/>
    <w:rsid w:val="003001D3"/>
    <w:pPr>
      <w:adjustRightInd w:val="0"/>
      <w:snapToGrid w:val="0"/>
      <w:ind w:left="360" w:hanging="360"/>
      <w:jc w:val="both"/>
    </w:pPr>
    <w:rPr>
      <w:rFonts w:eastAsia="SimSun"/>
      <w:sz w:val="16"/>
      <w:szCs w:val="24"/>
      <w:lang w:eastAsia="zh-CN"/>
    </w:rPr>
  </w:style>
  <w:style w:type="character" w:customStyle="1" w:styleId="UnresolvedMention">
    <w:name w:val="Unresolved Mention"/>
    <w:basedOn w:val="DefaultParagraphFont"/>
    <w:uiPriority w:val="99"/>
    <w:semiHidden/>
    <w:unhideWhenUsed/>
    <w:rsid w:val="003001D3"/>
    <w:rPr>
      <w:color w:val="605E5C"/>
      <w:shd w:val="clear" w:color="auto" w:fill="E1DFDD"/>
    </w:rPr>
  </w:style>
  <w:style w:type="character" w:customStyle="1" w:styleId="label">
    <w:name w:val="label"/>
    <w:basedOn w:val="DefaultParagraphFont"/>
    <w:rsid w:val="00AD1012"/>
  </w:style>
  <w:style w:type="character" w:customStyle="1" w:styleId="value">
    <w:name w:val="value"/>
    <w:basedOn w:val="DefaultParagraphFont"/>
    <w:rsid w:val="00AD1012"/>
  </w:style>
  <w:style w:type="table" w:styleId="LightShading-Accent5">
    <w:name w:val="Light Shading Accent 5"/>
    <w:basedOn w:val="TableNormal"/>
    <w:uiPriority w:val="60"/>
    <w:rsid w:val="00340462"/>
    <w:pPr>
      <w:spacing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340462"/>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ndnoteReference">
    <w:name w:val="endnote reference"/>
    <w:basedOn w:val="DefaultParagraphFont"/>
    <w:uiPriority w:val="99"/>
    <w:semiHidden/>
    <w:unhideWhenUsed/>
    <w:rsid w:val="00F1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54634">
      <w:bodyDiv w:val="1"/>
      <w:marLeft w:val="0"/>
      <w:marRight w:val="0"/>
      <w:marTop w:val="0"/>
      <w:marBottom w:val="0"/>
      <w:divBdr>
        <w:top w:val="none" w:sz="0" w:space="0" w:color="auto"/>
        <w:left w:val="none" w:sz="0" w:space="0" w:color="auto"/>
        <w:bottom w:val="none" w:sz="0" w:space="0" w:color="auto"/>
        <w:right w:val="none" w:sz="0" w:space="0" w:color="auto"/>
      </w:divBdr>
    </w:div>
    <w:div w:id="376975686">
      <w:bodyDiv w:val="1"/>
      <w:marLeft w:val="0"/>
      <w:marRight w:val="0"/>
      <w:marTop w:val="0"/>
      <w:marBottom w:val="0"/>
      <w:divBdr>
        <w:top w:val="none" w:sz="0" w:space="0" w:color="auto"/>
        <w:left w:val="none" w:sz="0" w:space="0" w:color="auto"/>
        <w:bottom w:val="none" w:sz="0" w:space="0" w:color="auto"/>
        <w:right w:val="none" w:sz="0" w:space="0" w:color="auto"/>
      </w:divBdr>
    </w:div>
    <w:div w:id="380593031">
      <w:bodyDiv w:val="1"/>
      <w:marLeft w:val="0"/>
      <w:marRight w:val="0"/>
      <w:marTop w:val="0"/>
      <w:marBottom w:val="0"/>
      <w:divBdr>
        <w:top w:val="none" w:sz="0" w:space="0" w:color="auto"/>
        <w:left w:val="none" w:sz="0" w:space="0" w:color="auto"/>
        <w:bottom w:val="none" w:sz="0" w:space="0" w:color="auto"/>
        <w:right w:val="none" w:sz="0" w:space="0" w:color="auto"/>
      </w:divBdr>
    </w:div>
    <w:div w:id="750002824">
      <w:bodyDiv w:val="1"/>
      <w:marLeft w:val="0"/>
      <w:marRight w:val="0"/>
      <w:marTop w:val="0"/>
      <w:marBottom w:val="0"/>
      <w:divBdr>
        <w:top w:val="none" w:sz="0" w:space="0" w:color="auto"/>
        <w:left w:val="none" w:sz="0" w:space="0" w:color="auto"/>
        <w:bottom w:val="none" w:sz="0" w:space="0" w:color="auto"/>
        <w:right w:val="none" w:sz="0" w:space="0" w:color="auto"/>
      </w:divBdr>
    </w:div>
    <w:div w:id="924849352">
      <w:bodyDiv w:val="1"/>
      <w:marLeft w:val="0"/>
      <w:marRight w:val="0"/>
      <w:marTop w:val="0"/>
      <w:marBottom w:val="0"/>
      <w:divBdr>
        <w:top w:val="none" w:sz="0" w:space="0" w:color="auto"/>
        <w:left w:val="none" w:sz="0" w:space="0" w:color="auto"/>
        <w:bottom w:val="none" w:sz="0" w:space="0" w:color="auto"/>
        <w:right w:val="none" w:sz="0" w:space="0" w:color="auto"/>
      </w:divBdr>
    </w:div>
    <w:div w:id="1301618103">
      <w:bodyDiv w:val="1"/>
      <w:marLeft w:val="0"/>
      <w:marRight w:val="0"/>
      <w:marTop w:val="0"/>
      <w:marBottom w:val="0"/>
      <w:divBdr>
        <w:top w:val="none" w:sz="0" w:space="0" w:color="auto"/>
        <w:left w:val="none" w:sz="0" w:space="0" w:color="auto"/>
        <w:bottom w:val="none" w:sz="0" w:space="0" w:color="auto"/>
        <w:right w:val="none" w:sz="0" w:space="0" w:color="auto"/>
      </w:divBdr>
    </w:div>
    <w:div w:id="1321884298">
      <w:bodyDiv w:val="1"/>
      <w:marLeft w:val="0"/>
      <w:marRight w:val="0"/>
      <w:marTop w:val="0"/>
      <w:marBottom w:val="0"/>
      <w:divBdr>
        <w:top w:val="none" w:sz="0" w:space="0" w:color="auto"/>
        <w:left w:val="none" w:sz="0" w:space="0" w:color="auto"/>
        <w:bottom w:val="none" w:sz="0" w:space="0" w:color="auto"/>
        <w:right w:val="none" w:sz="0" w:space="0" w:color="auto"/>
      </w:divBdr>
    </w:div>
    <w:div w:id="1373382180">
      <w:bodyDiv w:val="1"/>
      <w:marLeft w:val="0"/>
      <w:marRight w:val="0"/>
      <w:marTop w:val="0"/>
      <w:marBottom w:val="0"/>
      <w:divBdr>
        <w:top w:val="none" w:sz="0" w:space="0" w:color="auto"/>
        <w:left w:val="none" w:sz="0" w:space="0" w:color="auto"/>
        <w:bottom w:val="none" w:sz="0" w:space="0" w:color="auto"/>
        <w:right w:val="none" w:sz="0" w:space="0" w:color="auto"/>
      </w:divBdr>
    </w:div>
    <w:div w:id="1526627699">
      <w:bodyDiv w:val="1"/>
      <w:marLeft w:val="0"/>
      <w:marRight w:val="0"/>
      <w:marTop w:val="0"/>
      <w:marBottom w:val="0"/>
      <w:divBdr>
        <w:top w:val="none" w:sz="0" w:space="0" w:color="auto"/>
        <w:left w:val="none" w:sz="0" w:space="0" w:color="auto"/>
        <w:bottom w:val="none" w:sz="0" w:space="0" w:color="auto"/>
        <w:right w:val="none" w:sz="0" w:space="0" w:color="auto"/>
      </w:divBdr>
    </w:div>
    <w:div w:id="1575696710">
      <w:bodyDiv w:val="1"/>
      <w:marLeft w:val="0"/>
      <w:marRight w:val="0"/>
      <w:marTop w:val="0"/>
      <w:marBottom w:val="0"/>
      <w:divBdr>
        <w:top w:val="none" w:sz="0" w:space="0" w:color="auto"/>
        <w:left w:val="none" w:sz="0" w:space="0" w:color="auto"/>
        <w:bottom w:val="none" w:sz="0" w:space="0" w:color="auto"/>
        <w:right w:val="none" w:sz="0" w:space="0" w:color="auto"/>
      </w:divBdr>
      <w:divsChild>
        <w:div w:id="177430098">
          <w:marLeft w:val="0"/>
          <w:marRight w:val="0"/>
          <w:marTop w:val="0"/>
          <w:marBottom w:val="0"/>
          <w:divBdr>
            <w:top w:val="none" w:sz="0" w:space="0" w:color="auto"/>
            <w:left w:val="none" w:sz="0" w:space="0" w:color="auto"/>
            <w:bottom w:val="none" w:sz="0" w:space="0" w:color="auto"/>
            <w:right w:val="none" w:sz="0" w:space="0" w:color="auto"/>
          </w:divBdr>
        </w:div>
      </w:divsChild>
    </w:div>
    <w:div w:id="1638679738">
      <w:bodyDiv w:val="1"/>
      <w:marLeft w:val="0"/>
      <w:marRight w:val="0"/>
      <w:marTop w:val="0"/>
      <w:marBottom w:val="0"/>
      <w:divBdr>
        <w:top w:val="none" w:sz="0" w:space="0" w:color="auto"/>
        <w:left w:val="none" w:sz="0" w:space="0" w:color="auto"/>
        <w:bottom w:val="none" w:sz="0" w:space="0" w:color="auto"/>
        <w:right w:val="none" w:sz="0" w:space="0" w:color="auto"/>
      </w:divBdr>
    </w:div>
    <w:div w:id="1811243042">
      <w:bodyDiv w:val="1"/>
      <w:marLeft w:val="0"/>
      <w:marRight w:val="0"/>
      <w:marTop w:val="0"/>
      <w:marBottom w:val="0"/>
      <w:divBdr>
        <w:top w:val="none" w:sz="0" w:space="0" w:color="auto"/>
        <w:left w:val="none" w:sz="0" w:space="0" w:color="auto"/>
        <w:bottom w:val="none" w:sz="0" w:space="0" w:color="auto"/>
        <w:right w:val="none" w:sz="0" w:space="0" w:color="auto"/>
      </w:divBdr>
    </w:div>
    <w:div w:id="2025135243">
      <w:bodyDiv w:val="1"/>
      <w:marLeft w:val="0"/>
      <w:marRight w:val="0"/>
      <w:marTop w:val="0"/>
      <w:marBottom w:val="0"/>
      <w:divBdr>
        <w:top w:val="none" w:sz="0" w:space="0" w:color="auto"/>
        <w:left w:val="none" w:sz="0" w:space="0" w:color="auto"/>
        <w:bottom w:val="none" w:sz="0" w:space="0" w:color="auto"/>
        <w:right w:val="none" w:sz="0" w:space="0" w:color="auto"/>
      </w:divBdr>
      <w:divsChild>
        <w:div w:id="48158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ndinurindahsari@iainpare.ac.id" TargetMode="External"/><Relationship Id="rId4" Type="http://schemas.microsoft.com/office/2007/relationships/stylesWithEffects" Target="stylesWithEffects.xml"/><Relationship Id="rId9" Type="http://schemas.openxmlformats.org/officeDocument/2006/relationships/hyperlink" Target="mailto:Aninasriani177@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Ari96</b:Tag>
    <b:SourceType>Book</b:SourceType>
    <b:Guid>{7FF405C7-12A3-4AB3-B185-84F0CA8BD1A0}</b:Guid>
    <b:Author>
      <b:Author>
        <b:NameList>
          <b:Person>
            <b:Last>Arief</b:Last>
            <b:First>Barda</b:First>
            <b:Middle>Nawawi</b:Middle>
          </b:Person>
        </b:NameList>
      </b:Author>
    </b:Author>
    <b:Title>Bunga Rampai Kebijakan Hukum Pidana</b:Title>
    <b:Year>1996</b:Year>
    <b:City>Bandung</b:City>
    <b:Publisher>Pt. Citra Aditya Bakti</b:Publisher>
    <b:RefOrder>1</b:RefOrder>
  </b:Source>
  <b:Source>
    <b:Tag>Han67</b:Tag>
    <b:SourceType>Book</b:SourceType>
    <b:Guid>{D3BF1118-E3F7-4D5F-A6C3-0F6CCC4B38A1}</b:Guid>
    <b:Author>
      <b:Author>
        <b:NameList>
          <b:Person>
            <b:Last>Hanafi</b:Last>
            <b:First>A</b:First>
          </b:Person>
        </b:NameList>
      </b:Author>
    </b:Author>
    <b:Title>Asas-Asas Hukum Pidana Islam</b:Title>
    <b:Year>1967</b:Year>
    <b:City>Jakarta</b:City>
    <b:Publisher>Bulan Bintang</b:Publisher>
    <b:RefOrder>2</b:RefOrder>
  </b:Source>
  <b:Source>
    <b:Tag>Kan87</b:Tag>
    <b:SourceType>Book</b:SourceType>
    <b:Guid>{A35428C1-8719-4D64-A83A-D4981E1228E2}</b:Guid>
    <b:Author>
      <b:Author>
        <b:NameList>
          <b:Person>
            <b:Last>Kansil</b:Last>
            <b:First>C.S.T</b:First>
          </b:Person>
        </b:NameList>
      </b:Author>
    </b:Author>
    <b:Title>Pengantar Ilmu Hukum dan Tata Hukum Indonesia</b:Title>
    <b:Year>1987</b:Year>
    <b:City>Jakarta</b:City>
    <b:Publisher>Balai Pustaka</b:Publisher>
    <b:RefOrder>3</b:RefOrder>
  </b:Source>
  <b:Source>
    <b:Tag>Moe93</b:Tag>
    <b:SourceType>Book</b:SourceType>
    <b:Guid>{A26F6378-0028-49F7-BDA9-29C2192F7E6F}</b:Guid>
    <b:Author>
      <b:Author>
        <b:NameList>
          <b:Person>
            <b:Last>Moeljatno</b:Last>
            <b:First>Prof</b:First>
          </b:Person>
        </b:NameList>
      </b:Author>
    </b:Author>
    <b:Title>Asas-Asas Hukum Pidana Islam</b:Title>
    <b:Year>1993</b:Year>
    <b:City>Jakarta</b:City>
    <b:Publisher>Aneka Cipta</b:Publisher>
    <b:RefOrder>4</b:RefOrder>
  </b:Source>
  <b:Source>
    <b:Tag>Pro89</b:Tag>
    <b:SourceType>Book</b:SourceType>
    <b:Guid>{AF39DF10-23A2-4EA4-AD92-D47421F3234F}</b:Guid>
    <b:Author>
      <b:Author>
        <b:NameList>
          <b:Person>
            <b:Last>Projodikoro</b:Last>
            <b:First>Wiryono</b:First>
          </b:Person>
        </b:NameList>
      </b:Author>
    </b:Author>
    <b:Title>Azas-Azas Hukum Pidana di Indonesia</b:Title>
    <b:Year>1989</b:Year>
    <b:City>Bandung</b:City>
    <b:Publisher>Pt. Erasco</b:Publisher>
    <b:RefOrder>5</b:RefOrder>
  </b:Source>
  <b:Source>
    <b:Tag>الف98</b:Tag>
    <b:SourceType>Book</b:SourceType>
    <b:Guid>{5D309458-1CF3-4372-B5CE-0A58371CD25E}</b:Guid>
    <b:Author>
      <b:Author>
        <b:NameList>
          <b:Person>
            <b:Last>فوزان</b:Last>
            <b:First>الفوزان،</b:First>
            <b:Middle>الشيخ محمّد صالح بن محمّد</b:Middle>
          </b:Person>
        </b:NameList>
      </b:Author>
    </b:Author>
    <b:Title>الملخص الفقهي</b:Title>
    <b:Year>1998</b:Year>
    <b:City>الرياض</b:City>
    <b:Publisher>دار العاصمة</b:Publisher>
    <b:RefOrder>6</b:RefOrder>
  </b:Source>
  <b:Source>
    <b:Tag>محم00</b:Tag>
    <b:SourceType>Book</b:SourceType>
    <b:Guid>{80ADB0AE-49A6-4E9C-8452-2FC49C5BE994}</b:Guid>
    <b:Author>
      <b:Author>
        <b:NameList>
          <b:Person>
            <b:Last>العثمين</b:Last>
            <b:First>محمّد</b:First>
            <b:Middle>بن صالح</b:Middle>
          </b:Person>
        </b:NameList>
      </b:Author>
    </b:Author>
    <b:Title>الشرح الممتع على زاد المستقنع</b:Title>
    <b:Year>2000</b:Year>
    <b:City>القاهرة</b:City>
    <b:Publisher>دار ابن جوزي</b:Publisher>
    <b:RefOrder>7</b:RefOrder>
  </b:Source>
  <b:Source>
    <b:Tag>صال99</b:Tag>
    <b:SourceType>Book</b:SourceType>
    <b:Guid>{2249FDF4-98A6-4AB2-B19E-B93393E741B2}</b:Guid>
    <b:Author>
      <b:Author>
        <b:NameList>
          <b:Person>
            <b:Last>العثيمين</b:Last>
            <b:First>صالح</b:First>
            <b:Middle>بن محمّد</b:Middle>
          </b:Person>
        </b:NameList>
      </b:Author>
    </b:Author>
    <b:Title>فتح ذي الجلال والإكرام بشرح بلوغ المرام</b:Title>
    <b:Year>1999</b:Year>
    <b:City>القاهرة </b:City>
    <b:Publisher>المكتبة الإسلامية للنشر والتوزيع</b:Publisher>
    <b:RefOrder>8</b:RefOrder>
  </b:Source>
  <b:Source>
    <b:Tag>الز06</b:Tag>
    <b:SourceType>Book</b:SourceType>
    <b:Guid>{DA99FF2C-3462-46CD-B621-2018D8081B67}</b:Guid>
    <b:Author>
      <b:Author>
        <b:NameList>
          <b:Person>
            <b:Last>الزحيلي</b:Last>
            <b:First>الدكتور</b:First>
            <b:Middle>وهبة</b:Middle>
          </b:Person>
        </b:NameList>
      </b:Author>
    </b:Author>
    <b:Title>الفقه الإسلامي وأدلته</b:Title>
    <b:Year>2006</b:Year>
    <b:City>دمسق</b:City>
    <b:Publisher>دار الفكر</b:Publisher>
    <b:RefOrder>9</b:RefOrder>
  </b:Source>
  <b:Source>
    <b:Tag>ابن04</b:Tag>
    <b:SourceType>Book</b:SourceType>
    <b:Guid>{714EE715-FCCF-4CDB-A47A-C6F94A7DD715}</b:Guid>
    <b:Author>
      <b:Author>
        <b:NameList>
          <b:Person>
            <b:Last>تيمية</b:Last>
            <b:First>أحمد</b:First>
            <b:Middle>ابن</b:Middle>
          </b:Person>
        </b:NameList>
      </b:Author>
    </b:Author>
    <b:Title>مجموع فتاوى شيخ الإسلام أحمد ابن تيمية</b:Title>
    <b:Year>2004</b:Year>
    <b:City>المدينة المنورة</b:City>
    <b:Publisher>مجمع الملك فهد</b:Publisher>
    <b:RefOrder>10</b:RefOrder>
  </b:Source>
  <b:Source>
    <b:Tag>عبد59</b:Tag>
    <b:SourceType>Book</b:SourceType>
    <b:Guid>{B2D891C2-DC05-487B-956A-6931C31D8C95}</b:Guid>
    <b:LCID>ar-SA</b:LCID>
    <b:Author>
      <b:Author>
        <b:NameList>
          <b:Person>
            <b:Last>عودة</b:Last>
            <b:First>عبد</b:First>
            <b:Middle>القادر</b:Middle>
          </b:Person>
        </b:NameList>
      </b:Author>
    </b:Author>
    <b:Title>التشريع الجنائي الإسلامي</b:Title>
    <b:Year>1959</b:Year>
    <b:City>مصر</b:City>
    <b:Publisher>مطبعة مدني</b:Publisher>
    <b:RefOrder>11</b:RefOrder>
  </b:Source>
  <b:Source>
    <b:Tag>ابن08</b:Tag>
    <b:SourceType>Book</b:SourceType>
    <b:Guid>{993CA242-10DA-44BA-AE39-3616047ED2BA}</b:Guid>
    <b:LCID>ar-SA</b:LCID>
    <b:Author>
      <b:Author>
        <b:NameList>
          <b:Person>
            <b:Last>النيسابوري</b:Last>
            <b:First>ابن</b:First>
            <b:Middle>منذر</b:Middle>
          </b:Person>
        </b:NameList>
      </b:Author>
    </b:Author>
    <b:Title>الإجماع</b:Title>
    <b:Year>2008</b:Year>
    <b:City>مكّة</b:City>
    <b:Publisher>مكتبة مكّة الثقافية</b:Publisher>
    <b:RefOrder>12</b:RefOrder>
  </b:Source>
  <b:Source>
    <b:Tag>أحم</b:Tag>
    <b:SourceType>Book</b:SourceType>
    <b:Guid>{F9D94EC7-0F86-4A8A-BD73-9D3BEDA3EF52}</b:Guid>
    <b:LCID>ar-SA</b:LCID>
    <b:Author>
      <b:Author>
        <b:NameList>
          <b:Person>
            <b:Last>المراغي</b:Last>
            <b:First>أحمد</b:First>
            <b:Middle>مصطفى</b:Middle>
          </b:Person>
        </b:NameList>
      </b:Author>
    </b:Author>
    <b:Title>تفسير المراغي</b:Title>
    <b:City>القاهرة</b:City>
    <b:Year>1946</b:Year>
    <b:Publisher>مكتبة مصطفى الباب الحلب</b:Publisher>
    <b:RefOrder>13</b:RefOrder>
  </b:Source>
  <b:Source>
    <b:Tag>Est17</b:Tag>
    <b:SourceType>InternetSite</b:SourceType>
    <b:Guid>{3FE419B3-E426-4515-86AE-416CBBE93D36}</b:Guid>
    <b:Title>SETARA Institute: Kasus Penodaan Agama Menguat Pasca Reformasi</b:Title>
    <b:Year>2017</b:Year>
    <b:Author>
      <b:Author>
        <b:NameList>
          <b:Person>
            <b:Last>Suryowati</b:Last>
            <b:First>Estu</b:First>
          </b:Person>
        </b:NameList>
      </b:Author>
    </b:Author>
    <b:InternetSiteTitle>nasional.kompas.com</b:InternetSiteTitle>
    <b:Month>December</b:Month>
    <b:URL>http://nasional.kompas.com/read/2017/05/24/16354351/setara.institute.kasus.penodaan.agama.menguat.pasca.reformasi</b:URL>
    <b:RefOrder>14</b:RefOrder>
  </b:Source>
  <b:Source>
    <b:Tag>Muh011</b:Tag>
    <b:SourceType>Book</b:SourceType>
    <b:Guid>{82CF585F-4993-4855-B3ED-1C53F1B239C1}</b:Guid>
    <b:Author>
      <b:Author>
        <b:NameList>
          <b:Person>
            <b:Last>Suma</b:Last>
            <b:First>Muhammad</b:First>
            <b:Middle>Amin</b:Middle>
          </b:Person>
        </b:NameList>
      </b:Author>
    </b:Author>
    <b:Title>Pidana Islam di Indonesia</b:Title>
    <b:Year>2001</b:Year>
    <b:City>Jakarta</b:City>
    <b:Publisher>Pustaka Pirdaus</b:Publisher>
    <b:RefOrder>15</b:RefOrder>
  </b:Source>
  <b:Source>
    <b:Tag>Muh01</b:Tag>
    <b:SourceType>Book</b:SourceType>
    <b:Guid>{900A39B5-6EE1-411D-95CA-83628807CC78}</b:Guid>
    <b:Author>
      <b:Author>
        <b:NameList>
          <b:Person>
            <b:Last>Suma</b:Last>
            <b:First>Muhammad</b:First>
            <b:Middle>Amin</b:Middle>
          </b:Person>
        </b:NameList>
      </b:Author>
    </b:Author>
    <b:Title>Pidana Islam di Indonesia</b:Title>
    <b:Year>2001</b:Year>
    <b:City>Jakara</b:City>
    <b:Publisher>Pustaka Pirdaus</b:Publisher>
    <b:RefOrder>16</b:RefOrder>
  </b:Source>
  <b:Source>
    <b:Tag>Sud90</b:Tag>
    <b:SourceType>Book</b:SourceType>
    <b:Guid>{34BA782C-CB6A-40AE-8A4D-172904B0B0B6}</b:Guid>
    <b:Author>
      <b:Author>
        <b:NameList>
          <b:Person>
            <b:Last>Sudarto</b:Last>
          </b:Person>
        </b:NameList>
      </b:Author>
    </b:Author>
    <b:Title>Hukum Pidana 1</b:Title>
    <b:Year>1990</b:Year>
    <b:City>Semarang</b:City>
    <b:Publisher>Yayasan Sudanrto dan Fak. Hukum UNDIP</b:Publisher>
    <b:RefOrder>17</b:RefOrder>
  </b:Source>
  <b:Source>
    <b:Tag>Sud01</b:Tag>
    <b:SourceType>Book</b:SourceType>
    <b:Guid>{D2DCF3D9-85FF-4EF9-848F-74F7EB333C4A}</b:Guid>
    <b:Author>
      <b:Author>
        <b:NameList>
          <b:Person>
            <b:Last>Sudarsono</b:Last>
          </b:Person>
        </b:NameList>
      </b:Author>
    </b:Author>
    <b:Title>Pokok-Pokok Hukum Islam</b:Title>
    <b:Year>2001</b:Year>
    <b:City>Jakarta</b:City>
    <b:Publisher>Rineka Cipta</b:Publisher>
    <b:RefOrder>18</b:RefOrder>
  </b:Source>
  <b:Source>
    <b:Tag>MSo03</b:Tag>
    <b:SourceType>Book</b:SourceType>
    <b:Guid>{8B17C352-9BFC-4F3C-8F7C-593D7BEC3E68}</b:Guid>
    <b:Author>
      <b:Author>
        <b:NameList>
          <b:Person>
            <b:Last>Solehuddin</b:Last>
            <b:First>M</b:First>
          </b:Person>
        </b:NameList>
      </b:Author>
    </b:Author>
    <b:Title>Sistem Sanksi dalam Hukum Pidana</b:Title>
    <b:Year>2003</b:Year>
    <b:City>Jakarta</b:City>
    <b:Publisher>PT. Raja Grafindo Persada</b:Publisher>
    <b:RefOrder>19</b:RefOrder>
  </b:Source>
  <b:Source>
    <b:Tag>MQu06</b:Tag>
    <b:SourceType>Book</b:SourceType>
    <b:Guid>{4BD42FE5-A278-4EEA-AC33-F2BCF5145BF6}</b:Guid>
    <b:Author>
      <b:Author>
        <b:NameList>
          <b:Person>
            <b:Last>Shihab</b:Last>
            <b:First>M</b:First>
            <b:Middle>Quraish</b:Middle>
          </b:Person>
        </b:NameList>
      </b:Author>
    </b:Author>
    <b:Title>Menabur Pesan Ilahi: al-Qur'an dan Dinamika Kehidupan Masyarakat</b:Title>
    <b:Year>2006</b:Year>
    <b:City>Jakarta</b:City>
    <b:Publisher>Lentera Hati</b:Publisher>
    <b:RefOrder>20</b:RefOrder>
  </b:Source>
  <b:Source>
    <b:Tag>Say84</b:Tag>
    <b:SourceType>Book</b:SourceType>
    <b:Guid>{EB9C7296-6BFE-48F7-8E02-88E458230C9A}</b:Guid>
    <b:Author>
      <b:Author>
        <b:NameList>
          <b:Person>
            <b:Last>Sabiq</b:Last>
            <b:First>Sayydi</b:First>
          </b:Person>
        </b:NameList>
      </b:Author>
    </b:Author>
    <b:Title>Fiqhu-s-Sunah</b:Title>
    <b:Year>1984</b:Year>
    <b:City>Bandung</b:City>
    <b:Publisher>PT. Al Ma'arif</b:Publisher>
    <b:RefOrder>21</b:RefOrder>
  </b:Source>
  <b:Source>
    <b:Tag>Nel17</b:Tag>
    <b:SourceType>JournalArticle</b:SourceType>
    <b:Guid>{F08DF036-6533-4132-B36D-ECE951598FD9}</b:Guid>
    <b:Author>
      <b:Author>
        <b:NameList>
          <b:Person>
            <b:Last>Putri</b:Last>
            <b:First>Nella</b:First>
            <b:Middle>Sumika</b:Middle>
          </b:Person>
        </b:NameList>
      </b:Author>
    </b:Author>
    <b:Title>Analisis Pasal 156 a KUHP dan UU No 1 tahun 1965 terkait tindak pidana penodaan agama yang terjadi di Jawa Barat</b:Title>
    <b:JournalName>Opini Hukum LBH Bandung</b:JournalName>
    <b:Year>2017</b:Year>
    <b:Pages>11</b:Pages>
    <b:RefOrder>22</b:RefOrder>
  </b:Source>
  <b:Source>
    <b:Tag>Put</b:Tag>
    <b:SourceType>JournalArticle</b:SourceType>
    <b:Guid>{7D3974B4-4D0F-4EFA-BBDA-1402ED9A7532}</b:Guid>
    <b:Title>Analisis P</b:Title>
    <b:Author>
      <b:Author>
        <b:NameList>
          <b:Person>
            <b:Last>Putri</b:Last>
            <b:First>Nella</b:First>
            <b:Middle>Sumika</b:Middle>
          </b:Person>
        </b:NameList>
      </b:Author>
    </b:Author>
    <b:RefOrder>23</b:RefOrder>
  </b:Source>
  <b:Source>
    <b:Tag>Juh82</b:Tag>
    <b:SourceType>Book</b:SourceType>
    <b:Guid>{C30076B0-E082-45D4-BDB2-A2145A271FD7}</b:Guid>
    <b:Author>
      <b:Author>
        <b:NameList>
          <b:Person>
            <b:Last>Praja</b:Last>
            <b:First>Juhaya</b:First>
            <b:Middle>S.</b:Middle>
          </b:Person>
        </b:NameList>
      </b:Author>
    </b:Author>
    <b:Title>Delik-Delik Agama Dalam Hukum Pidana di Indonesia</b:Title>
    <b:Year>1982</b:Year>
    <b:City>Bandung</b:City>
    <b:Publisher>Angkasa</b:Publisher>
    <b:RefOrder>24</b:RefOrder>
  </b:Source>
  <b:Source>
    <b:Tag>WJS16</b:Tag>
    <b:SourceType>Book</b:SourceType>
    <b:Guid>{C1378F2B-6C2F-4E28-8607-6EA0F0E8F255}</b:Guid>
    <b:Title>Kamus Besar Bahasa Indonesia</b:Title>
    <b:Year>2016</b:Year>
    <b:Author>
      <b:Author>
        <b:NameList>
          <b:Person>
            <b:Last>Poerwadarminta</b:Last>
            <b:First>W.J.S</b:First>
          </b:Person>
        </b:NameList>
      </b:Author>
    </b:Author>
    <b:City>Jakarta</b:City>
    <b:Publisher>Balai Pustaka</b:Publisher>
    <b:RefOrder>25</b:RefOrder>
  </b:Source>
  <b:Source>
    <b:Tag>Moh88</b:Tag>
    <b:SourceType>Book</b:SourceType>
    <b:Guid>{D0F0CAFE-1917-4861-94B2-BAD1752D0EF2}</b:Guid>
    <b:Author>
      <b:Author>
        <b:NameList>
          <b:Person>
            <b:Last>Nasir</b:Last>
            <b:First>Moh</b:First>
          </b:Person>
        </b:NameList>
      </b:Author>
    </b:Author>
    <b:Title>Metode Penelitian</b:Title>
    <b:Year>1988</b:Year>
    <b:City>Jakarta</b:City>
    <b:Publisher>Ghalia Indonesia</b:Publisher>
    <b:RefOrder>26</b:RefOrder>
  </b:Source>
  <b:Source>
    <b:Tag>Ahm05</b:Tag>
    <b:SourceType>Book</b:SourceType>
    <b:Guid>{16FC1060-30DD-408E-9D38-0BA62DE7EFCE}</b:Guid>
    <b:Title>Hukum Pidana Islam</b:Title>
    <b:Year>2005</b:Year>
    <b:City>Jakarta</b:City>
    <b:Publisher>Sinar Grafika</b:Publisher>
    <b:Author>
      <b:Author>
        <b:NameList>
          <b:Person>
            <b:Last>Muchlis</b:Last>
            <b:First>Ahmad</b:First>
            <b:Middle>Wardi</b:Middle>
          </b:Person>
        </b:NameList>
      </b:Author>
    </b:Author>
    <b:RefOrder>27</b:RefOrder>
  </b:Source>
  <b:Source>
    <b:Tag>Fra13</b:Tag>
    <b:SourceType>Book</b:SourceType>
    <b:Guid>{F371F588-8814-4245-ADD2-ADE01ED3D499}</b:Guid>
    <b:Author>
      <b:Author>
        <b:NameList>
          <b:Person>
            <b:Last>Maramis</b:Last>
            <b:First>Frans</b:First>
          </b:Person>
        </b:NameList>
      </b:Author>
    </b:Author>
    <b:Title>Hukum Pidana Umum dan Tertulis di Indonesia</b:Title>
    <b:Year>2013</b:Year>
    <b:City>Jakarta</b:City>
    <b:Publisher>Raja Grafindo Persada</b:Publisher>
    <b:RefOrder>28</b:RefOrder>
  </b:Source>
  <b:Source>
    <b:Tag>Lad10</b:Tag>
    <b:SourceType>Book</b:SourceType>
    <b:Guid>{21A64CC2-1BD4-4123-8BBE-3900809B0346}</b:Guid>
    <b:Author>
      <b:Author>
        <b:NameList>
          <b:Person>
            <b:Last>Laden Marpaung</b:Last>
            <b:First>S.H</b:First>
          </b:Person>
        </b:NameList>
      </b:Author>
    </b:Author>
    <b:Title>Tindak Pidana Terhadap Kehormatan</b:Title>
    <b:Year>2010</b:Year>
    <b:City>Jakarta</b:City>
    <b:Publisher>PT. SInar Grafika</b:Publisher>
    <b:RefOrder>29</b:RefOrder>
  </b:Source>
  <b:Source>
    <b:Tag>Kon85</b:Tag>
    <b:SourceType>Book</b:SourceType>
    <b:Guid>{1E3E5ADF-BD83-4DC7-A42E-B160D09F1698}</b:Guid>
    <b:Author>
      <b:Author>
        <b:NameList>
          <b:Person>
            <b:Last>Kontjaraningrat</b:Last>
          </b:Person>
        </b:NameList>
      </b:Author>
    </b:Author>
    <b:Title>Kebudayaan, Mentalitas dan Pembangunan</b:Title>
    <b:Year>1985</b:Year>
    <b:City>Jakarta</b:City>
    <b:Publisher>Gramedia</b:Publisher>
    <b:RefOrder>30</b:RefOrder>
  </b:Source>
  <b:Source>
    <b:Tag>Khu89</b:Tag>
    <b:SourceType>Book</b:SourceType>
    <b:Guid>{89A8B16E-850D-4F40-B495-014ADDB15C2C}</b:Guid>
    <b:Author>
      <b:Author>
        <b:NameList>
          <b:Person>
            <b:Last>Khursud Ahmad</b:Last>
            <b:First>et</b:First>
            <b:Middle>al</b:Middle>
          </b:Person>
        </b:NameList>
      </b:Author>
    </b:Author>
    <b:Title>Prinsip-Prinsip Pokok Islam</b:Title>
    <b:Year>1989</b:Year>
    <b:City>Jakarta</b:City>
    <b:Publisher>Prinsip-Prinsip Pokok Islam</b:Publisher>
    <b:RefOrder>31</b:RefOrder>
  </b:Source>
  <b:Source>
    <b:Tag>JCT95</b:Tag>
    <b:SourceType>Book</b:SourceType>
    <b:Guid>{EE7F4824-1C6F-4334-8913-E41605C02472}</b:Guid>
    <b:Author>
      <b:Author>
        <b:NameList>
          <b:Person>
            <b:Last>J.C.T Simorangkir</b:Last>
            <b:First>S.H</b:First>
          </b:Person>
        </b:NameList>
      </b:Author>
    </b:Author>
    <b:Title>Kamus Hukum</b:Title>
    <b:Year>1995</b:Year>
    <b:City>Jakarta</b:City>
    <b:Publisher>PT. Sinar Grafika</b:Publisher>
    <b:RefOrder>32</b:RefOrder>
  </b:Source>
  <b:Source>
    <b:Tag>Tos94</b:Tag>
    <b:SourceType>Book</b:SourceType>
    <b:Guid>{74986089-4565-4E27-882E-61F2196441A9}</b:Guid>
    <b:Author>
      <b:Author>
        <b:NameList>
          <b:Person>
            <b:Last>Izutsu</b:Last>
            <b:First>Toshihiku</b:First>
          </b:Person>
        </b:NameList>
      </b:Author>
    </b:Author>
    <b:Title>Konsep Kepercayaan Dalam Teologi Islam</b:Title>
    <b:Year>1994</b:Year>
    <b:City>Yogyakarta</b:City>
    <b:Publisher>Tiara Wacana</b:Publisher>
    <b:RefOrder>33</b:RefOrder>
  </b:Source>
  <b:Source>
    <b:Tag>Roh17</b:Tag>
    <b:SourceType>JournalArticle</b:SourceType>
    <b:Guid>{12D69D45-33E1-4B54-9CF9-A0F2EC71CEAD}</b:Guid>
    <b:Title>Fenomena Penistaan Agama Dalam Perspektif Islam &amp; Filsafa Pancasila</b:Title>
    <b:Year>2017</b:Year>
    <b:Author>
      <b:Author>
        <b:NameList>
          <b:Person>
            <b:Last>Izad</b:Last>
            <b:First>Rohmatul</b:First>
          </b:Person>
        </b:NameList>
      </b:Author>
    </b:Author>
    <b:JournalName>Penangkaran, Jurnal Penilitian Agama dan Masyrakat</b:JournalName>
    <b:Pages>178</b:Pages>
    <b:RefOrder>34</b:RefOrder>
  </b:Source>
  <b:Source>
    <b:Tag>Ima15</b:Tag>
    <b:SourceType>Book</b:SourceType>
    <b:Guid>{F17A6E44-921D-4974-B611-A1AA9A910E99}</b:Guid>
    <b:Title>Jangan Nodai Agama</b:Title>
    <b:Year>2015</b:Year>
    <b:Author>
      <b:Author>
        <b:NameList>
          <b:Person>
            <b:Last>Imaddudin bin Syamsuri</b:Last>
            <b:First>M.</b:First>
            <b:Middle>Zainal Arifin</b:Middle>
          </b:Person>
        </b:NameList>
      </b:Author>
    </b:Author>
    <b:City>Yogyakarta</b:City>
    <b:Publisher>Pustaka Pelajar</b:Publisher>
    <b:RefOrder>35</b:RefOrder>
  </b:Source>
  <b:Source>
    <b:Tag>Ibn00</b:Tag>
    <b:SourceType>Book</b:SourceType>
    <b:Guid>{52BCB516-EE4C-40DD-966C-76C6DCFE4137}</b:Guid>
    <b:Title>Fiqh Mazhab Syafi'i</b:Title>
    <b:Year>2000</b:Year>
    <b:City>Bandung</b:City>
    <b:Publisher>CV Pustaka Setia</b:Publisher>
    <b:Author>
      <b:Author>
        <b:NameList>
          <b:Person>
            <b:Last>Ibnu Mas'ud</b:Last>
            <b:First>Zainal</b:First>
            <b:Middle>Abidin</b:Middle>
          </b:Person>
        </b:NameList>
      </b:Author>
    </b:Author>
    <b:RefOrder>36</b:RefOrder>
  </b:Source>
  <b:Source>
    <b:Tag>Ahm67</b:Tag>
    <b:SourceType>Book</b:SourceType>
    <b:Guid>{CEEEB4F2-EB46-4656-9201-B7BC8E380AF4}</b:Guid>
    <b:Author>
      <b:Author>
        <b:NameList>
          <b:Person>
            <b:Last>Hanafi</b:Last>
            <b:First>Ahmad</b:First>
          </b:Person>
        </b:NameList>
      </b:Author>
    </b:Author>
    <b:Title>Asas-Asas Hukum Pidana Islam</b:Title>
    <b:Year>1967</b:Year>
    <b:City>Jakarta</b:City>
    <b:Publisher>Bulan Bintang</b:Publisher>
    <b:RefOrder>37</b:RefOrder>
  </b:Source>
  <b:Source>
    <b:Tag>Drs12</b:Tag>
    <b:SourceType>Book</b:SourceType>
    <b:Guid>{5EDFBB3E-5804-48BE-A8C1-BDC845879C47}</b:Guid>
    <b:Author>
      <b:Author>
        <b:NameList>
          <b:Person>
            <b:Last>Drs. P.A.F Lamintang</b:Last>
            <b:First>S.H</b:First>
          </b:Person>
        </b:NameList>
      </b:Author>
    </b:Author>
    <b:Title>Hukum Penitensier Indonesia</b:Title>
    <b:Year>2012</b:Year>
    <b:City>Jakarta</b:City>
    <b:Publisher>PT. SInar Grafika</b:Publisher>
    <b:RefOrder>38</b:RefOrder>
  </b:Source>
  <b:Source>
    <b:Tag>Drs10</b:Tag>
    <b:SourceType>Book</b:SourceType>
    <b:Guid>{B6EB2BE2-82C0-4818-AB86-36CCDA01A2C2}</b:Guid>
    <b:Title>Delik-Delik Khusus Kejahatan Terhadap Kepentingan Hukum Negara</b:Title>
    <b:Year>2010</b:Year>
    <b:City>Jakarta</b:City>
    <b:Publisher>PT. Sinar Grafika</b:Publisher>
    <b:Author>
      <b:Author>
        <b:NameList>
          <b:Person>
            <b:Last>Drs. P.A.F Lamintang</b:Last>
            <b:First>S.H</b:First>
          </b:Person>
        </b:NameList>
      </b:Author>
    </b:Author>
    <b:RefOrder>39</b:RefOrder>
  </b:Source>
  <b:Source>
    <b:Tag>Oem07</b:Tag>
    <b:SourceType>Book</b:SourceType>
    <b:Guid>{4332F1F4-832A-4CF9-BD02-167FC175BF7A}</b:Guid>
    <b:Title>Delik Agama dan Penghinaan Tuhan (Blasphemy) di Indonesia dan Perbandingannya di Berbagai Negara</b:Title>
    <b:Year>2007</b:Year>
    <b:Author>
      <b:Author>
        <b:NameList>
          <b:Person>
            <b:Last>Arief</b:Last>
            <b:First>Oemar</b:First>
            <b:Middle>Seno Adji Dalam Barda Nawawi</b:Middle>
          </b:Person>
        </b:NameList>
      </b:Author>
    </b:Author>
    <b:City>Semarang</b:City>
    <b:Publisher>Badan Penerbit Universitas Dipenogoro</b:Publisher>
    <b:RefOrder>40</b:RefOrder>
  </b:Source>
  <b:Source>
    <b:Tag>Yud08</b:Tag>
    <b:SourceType>Book</b:SourceType>
    <b:Guid>{587D1D8C-22E3-4DC9-B5B8-CCF24F64867F}</b:Guid>
    <b:Author>
      <b:Author>
        <b:NameList>
          <b:Person>
            <b:Last>Ardhiwisastra</b:Last>
            <b:First>Yudha</b:First>
            <b:Middle>Bhakti</b:Middle>
          </b:Person>
        </b:NameList>
      </b:Author>
    </b:Author>
    <b:Title>Penafsiran dan Konstruski Hukum</b:Title>
    <b:Year>2008</b:Year>
    <b:City>Bandung</b:City>
    <b:Publisher>Alumni</b:Publisher>
    <b:RefOrder>41</b:RefOrder>
  </b:Source>
  <b:Source>
    <b:Tag>Muh98</b:Tag>
    <b:SourceType>Book</b:SourceType>
    <b:Guid>{037444E2-756D-4CE0-B5B2-81DED6A552E4}</b:Guid>
    <b:Author>
      <b:Author>
        <b:NameList>
          <b:Person>
            <b:Last>Anwar</b:Last>
            <b:First>Muhammad</b:First>
          </b:Person>
        </b:NameList>
      </b:Author>
    </b:Author>
    <b:Title>Fiqh Islam Muamalah, Munakahat, Faraid dan Jinayah</b:Title>
    <b:Year>1998</b:Year>
    <b:City>Jakarta</b:City>
    <b:Publisher>PT. Al Ma'arif</b:Publisher>
    <b:RefOrder>42</b:RefOrder>
  </b:Source>
  <b:Source>
    <b:Tag>Ahs</b:Tag>
    <b:SourceType>Book</b:SourceType>
    <b:Guid>{EB36BC5F-4A4D-48D7-B54C-CCE645F17E8C}</b:Guid>
    <b:Author>
      <b:Author>
        <b:NameList>
          <b:Person>
            <b:Last>Ahsin Sakho Muhammad</b:Last>
            <b:First>Sayuti</b:First>
            <b:Middle>Anshari Nasution</b:Middle>
          </b:Person>
        </b:NameList>
      </b:Author>
    </b:Author>
    <b:Title>Ensiklopedi Hukum Pidana Islam III</b:Title>
    <b:City>Bogor</b:City>
    <b:Publisher>Batara Offset</b:Publisher>
    <b:RefOrder>43</b:RefOrder>
  </b:Source>
  <b:Source>
    <b:Tag>The92</b:Tag>
    <b:SourceType>Book</b:SourceType>
    <b:Guid>{FBA57DEE-CDAB-49DB-BFD7-92FC4B3D5266}</b:Guid>
    <b:Author>
      <b:Author>
        <b:Corporate>The Writers Team</b:Corporate>
      </b:Author>
    </b:Author>
    <b:Title>Ensiklopedia Islam Indonesia</b:Title>
    <b:Year>1992</b:Year>
    <b:City>Jakarta</b:City>
    <b:Publisher>Djambatan</b:Publisher>
    <b:RefOrder>44</b:RefOrder>
  </b:Source>
  <b:Source>
    <b:Tag>The07</b:Tag>
    <b:SourceType>Book</b:SourceType>
    <b:Guid>{E1638C11-A1A1-4ABC-88C7-BDC7644F3BFC}</b:Guid>
    <b:Author>
      <b:Author>
        <b:Corporate>The Ministry of Religion of the Republic of Indonesia</b:Corporate>
      </b:Author>
    </b:Author>
    <b:Title>Al-Quran Tajwid dan Terjemahnya dilengkapi dengan Asbabun Nuzul dan Hadits Sahih</b:Title>
    <b:Year>2007</b:Year>
    <b:City>Bandung</b:City>
    <b:Publisher>PT Sygema Examedia Arleema</b:Publisher>
    <b:RefOrder>45</b:RefOrder>
  </b:Source>
</b:Sources>
</file>

<file path=customXml/itemProps1.xml><?xml version="1.0" encoding="utf-8"?>
<ds:datastoreItem xmlns:ds="http://schemas.openxmlformats.org/officeDocument/2006/customXml" ds:itemID="{5FEEC2A4-AC67-4EF8-8E5C-ED374244D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3684</Words>
  <Characters>21003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USER</cp:lastModifiedBy>
  <cp:revision>12</cp:revision>
  <dcterms:created xsi:type="dcterms:W3CDTF">2024-12-01T18:38:00Z</dcterms:created>
  <dcterms:modified xsi:type="dcterms:W3CDTF">2024-12-04T07:29:00Z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d642d564-24b0-3474-ae36-eded21bb750a</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