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5D" w:rsidRPr="000479B0" w:rsidRDefault="000479B0" w:rsidP="007B0768">
      <w:pPr>
        <w:spacing w:after="0" w:line="240" w:lineRule="auto"/>
        <w:ind w:right="849"/>
        <w:jc w:val="center"/>
        <w:rPr>
          <w:rFonts w:ascii="Footlight MT Light" w:hAnsi="Footlight MT Light" w:cstheme="majorBidi"/>
          <w:b/>
          <w:bCs/>
          <w:sz w:val="26"/>
          <w:szCs w:val="26"/>
        </w:rPr>
      </w:pPr>
      <w:r w:rsidRPr="000479B0">
        <w:rPr>
          <w:rFonts w:asciiTheme="majorBidi" w:hAnsiTheme="majorBidi" w:cstheme="majorBidi"/>
          <w:b/>
          <w:bCs/>
          <w:noProof/>
          <w:color w:val="BF8F00" w:themeColor="accent4" w:themeShade="BF"/>
          <w:sz w:val="24"/>
          <w:szCs w:val="24"/>
          <w:lang w:val="en-US"/>
        </w:rPr>
        <w:drawing>
          <wp:anchor distT="0" distB="0" distL="114300" distR="114300" simplePos="0" relativeHeight="251656192" behindDoc="0" locked="0" layoutInCell="1" allowOverlap="1" wp14:anchorId="54007C20" wp14:editId="31A6A94C">
            <wp:simplePos x="0" y="0"/>
            <wp:positionH relativeFrom="margin">
              <wp:posOffset>323850</wp:posOffset>
            </wp:positionH>
            <wp:positionV relativeFrom="paragraph">
              <wp:posOffset>0</wp:posOffset>
            </wp:positionV>
            <wp:extent cx="1028700" cy="737870"/>
            <wp:effectExtent l="0" t="0" r="0" b="5080"/>
            <wp:wrapSquare wrapText="bothSides"/>
            <wp:docPr id="1" name="Picture 1" descr="E:\IAIN BONE 2020\Jurnal al-Waraqah 2020 - Copy\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IN BONE 2020\Jurnal al-Waraqah 2020 - Copy\LOGO 1.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5000" b="98889" l="2273" r="89394"/>
                              </a14:imgEffect>
                            </a14:imgLayer>
                          </a14:imgProps>
                        </a:ext>
                        <a:ext uri="{28A0092B-C50C-407E-A947-70E740481C1C}">
                          <a14:useLocalDpi xmlns:a14="http://schemas.microsoft.com/office/drawing/2010/main" val="0"/>
                        </a:ext>
                      </a:extLst>
                    </a:blip>
                    <a:srcRect/>
                    <a:stretch>
                      <a:fillRect/>
                    </a:stretch>
                  </pic:blipFill>
                  <pic:spPr bwMode="auto">
                    <a:xfrm>
                      <a:off x="0" y="0"/>
                      <a:ext cx="1028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B5D" w:rsidRPr="000479B0">
        <w:rPr>
          <w:rFonts w:ascii="Narkisim" w:hAnsi="Narkisim" w:cs="Narkisim"/>
          <w:b/>
          <w:bCs/>
          <w:color w:val="BF8F00" w:themeColor="accent4" w:themeShade="BF"/>
          <w:sz w:val="28"/>
          <w:szCs w:val="28"/>
        </w:rPr>
        <w:t>AL WARAQAH</w:t>
      </w:r>
      <w:r w:rsidR="005D1654" w:rsidRPr="000479B0">
        <w:rPr>
          <w:rFonts w:ascii="Narkisim" w:hAnsi="Narkisim" w:cs="Narkisim"/>
          <w:b/>
          <w:bCs/>
          <w:color w:val="BF8F00" w:themeColor="accent4" w:themeShade="BF"/>
          <w:sz w:val="28"/>
          <w:szCs w:val="28"/>
        </w:rPr>
        <w:t xml:space="preserve">: </w:t>
      </w:r>
      <w:r w:rsidR="00F44B5D" w:rsidRPr="000479B0">
        <w:rPr>
          <w:rFonts w:ascii="Footlight MT Light" w:hAnsi="Footlight MT Light" w:cstheme="majorBidi"/>
          <w:b/>
          <w:bCs/>
          <w:sz w:val="26"/>
          <w:szCs w:val="26"/>
        </w:rPr>
        <w:t>Jurnal Pen</w:t>
      </w:r>
      <w:r w:rsidR="00EA77EF" w:rsidRPr="000479B0">
        <w:rPr>
          <w:rFonts w:ascii="Footlight MT Light" w:hAnsi="Footlight MT Light" w:cstheme="majorBidi"/>
          <w:b/>
          <w:bCs/>
          <w:sz w:val="26"/>
          <w:szCs w:val="26"/>
        </w:rPr>
        <w:t>d</w:t>
      </w:r>
      <w:r w:rsidR="00F44B5D" w:rsidRPr="000479B0">
        <w:rPr>
          <w:rFonts w:ascii="Footlight MT Light" w:hAnsi="Footlight MT Light" w:cstheme="majorBidi"/>
          <w:b/>
          <w:bCs/>
          <w:sz w:val="26"/>
          <w:szCs w:val="26"/>
        </w:rPr>
        <w:t>idikan Bahasa Arab</w:t>
      </w:r>
    </w:p>
    <w:p w:rsidR="006B7D26"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P-ISSN: </w:t>
      </w:r>
      <w:r w:rsidR="006B7D26" w:rsidRPr="002C4F7D">
        <w:rPr>
          <w:rFonts w:ascii="Footlight MT Light" w:hAnsi="Footlight MT Light" w:cstheme="majorBidi"/>
        </w:rPr>
        <w:t>2809-5596</w:t>
      </w:r>
    </w:p>
    <w:p w:rsidR="005D1654"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E-ISSN: </w:t>
      </w:r>
      <w:r w:rsidR="006B7D26" w:rsidRPr="002C4F7D">
        <w:rPr>
          <w:rFonts w:ascii="Footlight MT Light" w:hAnsi="Footlight MT Light" w:cstheme="majorBidi"/>
        </w:rPr>
        <w:t>2809-4816</w:t>
      </w:r>
    </w:p>
    <w:p w:rsidR="00F44B5D" w:rsidRPr="002C4F7D" w:rsidRDefault="005D1654" w:rsidP="007B0768">
      <w:pPr>
        <w:spacing w:after="0" w:line="240" w:lineRule="auto"/>
        <w:ind w:right="849"/>
        <w:jc w:val="center"/>
        <w:rPr>
          <w:rFonts w:ascii="Footlight MT Light" w:hAnsi="Footlight MT Light" w:cstheme="majorBidi"/>
        </w:rPr>
      </w:pPr>
      <w:r w:rsidRPr="002C4F7D">
        <w:rPr>
          <w:rFonts w:ascii="Footlight MT Light" w:hAnsi="Footlight MT Light" w:cstheme="majorBidi"/>
        </w:rPr>
        <w:t xml:space="preserve">Vol. 1 No. </w:t>
      </w:r>
      <w:r w:rsidR="006B7D26" w:rsidRPr="002C4F7D">
        <w:rPr>
          <w:rFonts w:ascii="Footlight MT Light" w:hAnsi="Footlight MT Light" w:cstheme="majorBidi"/>
        </w:rPr>
        <w:t>2</w:t>
      </w:r>
      <w:r w:rsidRPr="002C4F7D">
        <w:rPr>
          <w:rFonts w:ascii="Footlight MT Light" w:hAnsi="Footlight MT Light" w:cstheme="majorBidi"/>
        </w:rPr>
        <w:t xml:space="preserve">, </w:t>
      </w:r>
      <w:r w:rsidR="006B7D26" w:rsidRPr="002C4F7D">
        <w:rPr>
          <w:rFonts w:ascii="Footlight MT Light" w:hAnsi="Footlight MT Light" w:cstheme="majorBidi"/>
        </w:rPr>
        <w:t xml:space="preserve"> Juli-Desember 2020</w:t>
      </w:r>
    </w:p>
    <w:p w:rsidR="00F44B5D" w:rsidRPr="00256424" w:rsidRDefault="00E1351B" w:rsidP="005D1654">
      <w:pPr>
        <w:spacing w:after="0" w:line="240" w:lineRule="auto"/>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52CDA781" wp14:editId="369FF055">
                <wp:simplePos x="0" y="0"/>
                <wp:positionH relativeFrom="column">
                  <wp:posOffset>567055</wp:posOffset>
                </wp:positionH>
                <wp:positionV relativeFrom="paragraph">
                  <wp:posOffset>100965</wp:posOffset>
                </wp:positionV>
                <wp:extent cx="4829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30439B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7.95pt" to="424.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N+2QEAAA0EAAAOAAAAZHJzL2Uyb0RvYy54bWysU8GO2yAQvVfqPyDujZ1o0+5acfaQ1fZS&#10;tVG3/QAWDzESMAho7Px9B5w4q7aq1Gov2APz3sx7DJv70Rp2hBA1upYvFzVn4CR22h1a/v3b47tb&#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m9uV3fLD1REXs6qK9CH&#10;mD4CWpZ/Wm60y7JFI46fYqJilHpJydvGsYGG7a5e1yUtotHdozYmH5bRgZ0J7Cjo0tO4zM0Tw4ss&#10;ioyjzSxpElH+0snAxP8VFJlCbS+nAnkcr5xCSnDpwmscZWeYog5m4LmzvwHP+RkKZVT/BTwjSmV0&#10;aQZb7TD8qe2rFWrKvzgw6c4WPGN3KtdbrKGZK86d30ce6pdxgV9f8fYnAAAA//8DAFBLAwQUAAYA&#10;CAAAACEA5PDY298AAAAIAQAADwAAAGRycy9kb3ducmV2LnhtbEyPzU7DMBCE75V4B2uRuFStU/6a&#10;hDgVRCBxA1oEVzfeJmnjdRS7beDpWcSBHndmNPtNthhsKw7Y+8aRgtk0AoFUOtNQpeB99TSJQfig&#10;yejWESr4Qg+L/GyU6dS4I73hYRkqwSXkU62gDqFLpfRljVb7qeuQ2Nu43urAZ19J0+sjl9tWXkbR&#10;rbS6If5Q6w6LGsvdcm8VbF6Sj4fPcfH6uLLP82JWbf14+Fbq4ny4vwMRcAj/YfjFZ3TImWnt9mS8&#10;aBXEyRUnWb9JQLAfXyc8Zf0nyDyTpwPyHwAAAP//AwBQSwECLQAUAAYACAAAACEAtoM4kv4AAADh&#10;AQAAEwAAAAAAAAAAAAAAAAAAAAAAW0NvbnRlbnRfVHlwZXNdLnhtbFBLAQItABQABgAIAAAAIQA4&#10;/SH/1gAAAJQBAAALAAAAAAAAAAAAAAAAAC8BAABfcmVscy8ucmVsc1BLAQItABQABgAIAAAAIQBn&#10;V8N+2QEAAA0EAAAOAAAAAAAAAAAAAAAAAC4CAABkcnMvZTJvRG9jLnhtbFBLAQItABQABgAIAAAA&#10;IQDk8Njb3wAAAAgBAAAPAAAAAAAAAAAAAAAAADMEAABkcnMvZG93bnJldi54bWxQSwUGAAAAAAQA&#10;BADzAAAAPwUAAAAA&#10;" strokecolor="black [3213]" strokeweight="1.5pt">
                <v:stroke joinstyle="miter"/>
              </v:line>
            </w:pict>
          </mc:Fallback>
        </mc:AlternateContent>
      </w:r>
      <w:r w:rsidR="00256424">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234259AE" wp14:editId="437734DD">
                <wp:simplePos x="0" y="0"/>
                <wp:positionH relativeFrom="column">
                  <wp:posOffset>567690</wp:posOffset>
                </wp:positionH>
                <wp:positionV relativeFrom="paragraph">
                  <wp:posOffset>139065</wp:posOffset>
                </wp:positionV>
                <wp:extent cx="4829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829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E3CF6B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7pt,10.95pt" to="42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Dp2QEAAA0EAAAOAAAAZHJzL2Uyb0RvYy54bWysU8GO2yAQvVfqPyDujZ2om+5acfaQ1fZS&#10;tVF3+wEsHmIkYBDQ2Pn7DjhxVm1VqVUv2MzMe8x7DJv70Rp2hBA1upYvFzVn4CR22h1a/u358d0t&#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Pvb1d3yww1n8pKrrkAf&#10;YvoIaFn+abnRLssWjTh+iokOo9JLSQ4bxwYatrv6pi5lEY3uHrUxOVlGB3YmsKOgS0/jMjdPDK+q&#10;aGccBbOkSUT5SycDE/9XUGQKtb2cDsjjeOUUUoJLF17jqDrDFHUwA8+d/Ql4rs9QKKP6N+AZUU5G&#10;l2aw1Q7D79q+WqGm+osDk+5swQt2p3K9xRqaueLc+X3koX69L/DrK97+AAAA//8DAFBLAwQUAAYA&#10;CAAAACEA6X3Edd8AAAAIAQAADwAAAGRycy9kb3ducmV2LnhtbEyPQU/DMAyF70j7D5EncZlY2mli&#10;bWk6QQUSN2BDcM0ary00TtVkW+HXY8Rh3Gy/p+fv5evRduKIg28dKYjnEQikypmWagWv24erBIQP&#10;mozuHKGCL/SwLiYXuc6MO9ELHjehFhxCPtMKmhD6TEpfNWi1n7seibW9G6wOvA61NIM+cbjt5CKK&#10;rqXVLfGHRvdYNlh9bg5Wwf4pfbt7n5XP91v7uCrj+sPPxm+lLqfj7Q2IgGM4m+EXn9GhYKadO5Dx&#10;olOQpEt2KljEKQjWk2XKw+7vIItc/i9Q/AAAAP//AwBQSwECLQAUAAYACAAAACEAtoM4kv4AAADh&#10;AQAAEwAAAAAAAAAAAAAAAAAAAAAAW0NvbnRlbnRfVHlwZXNdLnhtbFBLAQItABQABgAIAAAAIQA4&#10;/SH/1gAAAJQBAAALAAAAAAAAAAAAAAAAAC8BAABfcmVscy8ucmVsc1BLAQItABQABgAIAAAAIQDi&#10;NXDp2QEAAA0EAAAOAAAAAAAAAAAAAAAAAC4CAABkcnMvZTJvRG9jLnhtbFBLAQItABQABgAIAAAA&#10;IQDpfcR13wAAAAgBAAAPAAAAAAAAAAAAAAAAADMEAABkcnMvZG93bnJldi54bWxQSwUGAAAAAAQA&#10;BADzAAAAPwUAAAAA&#10;" strokecolor="black [3213]" strokeweight="1.5pt">
                <v:stroke joinstyle="miter"/>
              </v:line>
            </w:pict>
          </mc:Fallback>
        </mc:AlternateContent>
      </w:r>
    </w:p>
    <w:p w:rsidR="00F44B5D" w:rsidRDefault="00F44B5D" w:rsidP="00F44B5D">
      <w:pPr>
        <w:spacing w:after="0" w:line="240" w:lineRule="auto"/>
        <w:jc w:val="center"/>
        <w:rPr>
          <w:rFonts w:asciiTheme="majorBidi" w:hAnsiTheme="majorBidi" w:cstheme="majorBidi"/>
          <w:sz w:val="24"/>
          <w:szCs w:val="24"/>
        </w:rPr>
      </w:pPr>
    </w:p>
    <w:p w:rsidR="001C380A" w:rsidRDefault="001C380A" w:rsidP="00F44B5D">
      <w:pPr>
        <w:spacing w:after="0" w:line="240" w:lineRule="auto"/>
        <w:jc w:val="center"/>
        <w:rPr>
          <w:rFonts w:asciiTheme="majorBidi" w:hAnsiTheme="majorBidi" w:cstheme="majorBidi"/>
          <w:lang w:val="en-US"/>
        </w:rPr>
      </w:pPr>
    </w:p>
    <w:p w:rsidR="00F44B5D" w:rsidRDefault="00D8313D" w:rsidP="00D8313D">
      <w:pPr>
        <w:tabs>
          <w:tab w:val="left" w:pos="765"/>
          <w:tab w:val="center" w:pos="4252"/>
        </w:tabs>
        <w:spacing w:after="0" w:line="240" w:lineRule="auto"/>
        <w:jc w:val="center"/>
        <w:rPr>
          <w:rFonts w:asciiTheme="majorBidi" w:hAnsiTheme="majorBidi" w:cs="Times New Roman"/>
          <w:b/>
          <w:bCs/>
          <w:color w:val="000000" w:themeColor="text1"/>
          <w:sz w:val="24"/>
          <w:szCs w:val="24"/>
          <w:lang w:val="en-US"/>
        </w:rPr>
      </w:pPr>
      <w:r w:rsidRPr="001C380A">
        <w:rPr>
          <w:rFonts w:asciiTheme="majorBidi" w:hAnsiTheme="majorBidi" w:cs="Times New Roman"/>
          <w:b/>
          <w:bCs/>
          <w:color w:val="000000" w:themeColor="text1"/>
          <w:sz w:val="24"/>
          <w:szCs w:val="24"/>
          <w:lang w:val="en-US"/>
        </w:rPr>
        <w:t>PENGEMBANGAN BAHAN AJAR QIRA'AH MENGGUNAKAN KITAB BAINA YADAIK DENGAN MODEL INSIDE OUTSIDE CIRCLE DI MTS LUBUKLINGGAU</w:t>
      </w:r>
    </w:p>
    <w:p w:rsidR="00795EEE" w:rsidRPr="003F703E" w:rsidRDefault="00795EEE" w:rsidP="00D8313D">
      <w:pPr>
        <w:tabs>
          <w:tab w:val="left" w:pos="765"/>
          <w:tab w:val="center" w:pos="4252"/>
        </w:tabs>
        <w:spacing w:after="0" w:line="240" w:lineRule="auto"/>
        <w:jc w:val="center"/>
        <w:rPr>
          <w:rFonts w:asciiTheme="majorBidi" w:hAnsiTheme="majorBidi" w:cs="Times New Roman"/>
          <w:b/>
          <w:bCs/>
          <w:color w:val="000000" w:themeColor="text1"/>
          <w:sz w:val="32"/>
          <w:szCs w:val="32"/>
          <w:lang w:val="en-US"/>
        </w:rPr>
      </w:pPr>
    </w:p>
    <w:p w:rsidR="00795EEE" w:rsidRPr="00795EEE" w:rsidRDefault="00795EEE" w:rsidP="00795EEE">
      <w:pPr>
        <w:spacing w:after="0" w:line="240" w:lineRule="auto"/>
        <w:ind w:right="-568"/>
        <w:rPr>
          <w:rFonts w:asciiTheme="majorBidi" w:hAnsiTheme="majorBidi" w:cstheme="majorBidi"/>
          <w:bCs/>
          <w:sz w:val="26"/>
          <w:szCs w:val="26"/>
          <w:lang w:val="en-US"/>
        </w:rPr>
      </w:pPr>
      <w:r>
        <w:rPr>
          <w:rFonts w:asciiTheme="majorBidi" w:hAnsiTheme="majorBidi" w:cstheme="majorBidi"/>
          <w:b/>
          <w:bCs/>
          <w:sz w:val="26"/>
          <w:szCs w:val="26"/>
          <w:lang w:val="en-US"/>
        </w:rPr>
        <w:t>Arika Falakul F</w:t>
      </w:r>
      <w:r w:rsidRPr="00795EEE">
        <w:rPr>
          <w:rFonts w:asciiTheme="majorBidi" w:hAnsiTheme="majorBidi" w:cstheme="majorBidi"/>
          <w:b/>
          <w:bCs/>
          <w:sz w:val="26"/>
          <w:szCs w:val="26"/>
          <w:lang w:val="en-US"/>
        </w:rPr>
        <w:t>ajriyah</w:t>
      </w:r>
      <w:r w:rsidR="00F44B5D">
        <w:rPr>
          <w:rFonts w:asciiTheme="majorBidi" w:hAnsiTheme="majorBidi" w:cstheme="majorBidi"/>
          <w:b/>
          <w:bCs/>
          <w:sz w:val="26"/>
          <w:szCs w:val="26"/>
        </w:rPr>
        <w:t>,</w:t>
      </w:r>
      <w:r>
        <w:rPr>
          <w:rFonts w:asciiTheme="majorBidi" w:hAnsiTheme="majorBidi" w:cstheme="majorBidi"/>
          <w:bCs/>
          <w:sz w:val="26"/>
          <w:szCs w:val="26"/>
          <w:lang w:val="en-US"/>
        </w:rPr>
        <w:t xml:space="preserve">UIN </w:t>
      </w:r>
      <w:r w:rsidR="00D8313D">
        <w:rPr>
          <w:rFonts w:asciiTheme="majorBidi" w:hAnsiTheme="majorBidi" w:cstheme="majorBidi"/>
          <w:bCs/>
          <w:sz w:val="26"/>
          <w:szCs w:val="26"/>
          <w:lang w:val="en-US"/>
        </w:rPr>
        <w:t>Raden Fatah Palembang</w:t>
      </w:r>
      <w:r>
        <w:rPr>
          <w:rFonts w:asciiTheme="majorBidi" w:hAnsiTheme="majorBidi" w:cstheme="majorBidi"/>
          <w:bCs/>
          <w:sz w:val="26"/>
          <w:szCs w:val="26"/>
          <w:lang w:val="en-US"/>
        </w:rPr>
        <w:t xml:space="preserve">, </w:t>
      </w:r>
      <w:hyperlink r:id="rId10" w:history="1">
        <w:r w:rsidRPr="00836648">
          <w:rPr>
            <w:rStyle w:val="Hyperlink"/>
            <w:rFonts w:asciiTheme="majorBidi" w:hAnsiTheme="majorBidi" w:cstheme="majorBidi"/>
            <w:bCs/>
            <w:sz w:val="26"/>
            <w:szCs w:val="26"/>
            <w:lang w:val="en-US"/>
          </w:rPr>
          <w:t>Arikafajriyah@gmail.com</w:t>
        </w:r>
      </w:hyperlink>
    </w:p>
    <w:p w:rsidR="00D8313D" w:rsidRPr="00D8313D" w:rsidRDefault="00D8313D" w:rsidP="00D8313D">
      <w:pPr>
        <w:spacing w:after="0" w:line="240" w:lineRule="auto"/>
        <w:jc w:val="center"/>
        <w:rPr>
          <w:rStyle w:val="Hyperlink"/>
          <w:rFonts w:asciiTheme="majorBidi" w:hAnsiTheme="majorBidi" w:cstheme="majorBidi"/>
          <w:bCs/>
          <w:color w:val="auto"/>
          <w:sz w:val="26"/>
          <w:szCs w:val="26"/>
          <w:u w:val="none"/>
          <w:lang w:val="en-US"/>
        </w:rPr>
      </w:pPr>
      <w:r>
        <w:rPr>
          <w:rFonts w:asciiTheme="majorBidi" w:hAnsiTheme="majorBidi" w:cstheme="majorBidi"/>
          <w:b/>
          <w:bCs/>
          <w:sz w:val="26"/>
          <w:szCs w:val="26"/>
          <w:lang w:val="en-US"/>
        </w:rPr>
        <w:t>Kristina Imron</w:t>
      </w:r>
      <w:r w:rsidR="003C02CB">
        <w:rPr>
          <w:rFonts w:asciiTheme="majorBidi" w:hAnsiTheme="majorBidi" w:cstheme="majorBidi"/>
          <w:b/>
          <w:bCs/>
          <w:sz w:val="26"/>
          <w:szCs w:val="26"/>
        </w:rPr>
        <w:t xml:space="preserve">, </w:t>
      </w:r>
      <w:r>
        <w:rPr>
          <w:rFonts w:asciiTheme="majorBidi" w:hAnsiTheme="majorBidi" w:cstheme="majorBidi"/>
          <w:bCs/>
          <w:sz w:val="26"/>
          <w:szCs w:val="26"/>
          <w:lang w:val="en-US"/>
        </w:rPr>
        <w:t>UIN Raden Fatah Palembang</w:t>
      </w:r>
      <w:r w:rsidR="003C02CB">
        <w:rPr>
          <w:rFonts w:asciiTheme="majorBidi" w:hAnsiTheme="majorBidi" w:cstheme="majorBidi"/>
          <w:bCs/>
          <w:sz w:val="26"/>
          <w:szCs w:val="26"/>
        </w:rPr>
        <w:t xml:space="preserve">, </w:t>
      </w:r>
      <w:hyperlink r:id="rId11" w:history="1">
        <w:r w:rsidRPr="00836648">
          <w:rPr>
            <w:rStyle w:val="Hyperlink"/>
            <w:rFonts w:asciiTheme="majorBidi" w:hAnsiTheme="majorBidi" w:cstheme="majorBidi"/>
            <w:bCs/>
            <w:sz w:val="26"/>
            <w:szCs w:val="26"/>
          </w:rPr>
          <w:t>Kristinimron@radenfatah.ac.id</w:t>
        </w:r>
      </w:hyperlink>
    </w:p>
    <w:p w:rsidR="00D8313D" w:rsidRDefault="00D8313D" w:rsidP="00D8313D">
      <w:pPr>
        <w:spacing w:after="0" w:line="240" w:lineRule="auto"/>
        <w:jc w:val="center"/>
        <w:rPr>
          <w:rFonts w:asciiTheme="majorBidi" w:hAnsiTheme="majorBidi" w:cstheme="majorBidi"/>
          <w:bCs/>
          <w:i/>
          <w:iCs/>
          <w:sz w:val="26"/>
          <w:szCs w:val="26"/>
          <w:lang w:val="en-US"/>
        </w:rPr>
      </w:pPr>
      <w:r>
        <w:rPr>
          <w:rFonts w:asciiTheme="majorBidi" w:hAnsiTheme="majorBidi" w:cstheme="majorBidi"/>
          <w:b/>
          <w:bCs/>
          <w:sz w:val="26"/>
          <w:szCs w:val="26"/>
          <w:lang w:val="en-US"/>
        </w:rPr>
        <w:t>Irmansyah</w:t>
      </w:r>
      <w:r>
        <w:rPr>
          <w:rFonts w:asciiTheme="majorBidi" w:hAnsiTheme="majorBidi" w:cstheme="majorBidi"/>
          <w:b/>
          <w:bCs/>
          <w:sz w:val="26"/>
          <w:szCs w:val="26"/>
        </w:rPr>
        <w:t xml:space="preserve">, </w:t>
      </w:r>
      <w:r>
        <w:rPr>
          <w:rFonts w:asciiTheme="majorBidi" w:hAnsiTheme="majorBidi" w:cstheme="majorBidi"/>
          <w:bCs/>
          <w:sz w:val="26"/>
          <w:szCs w:val="26"/>
          <w:lang w:val="en-US"/>
        </w:rPr>
        <w:t>UIN Raden Fatah Palembang</w:t>
      </w:r>
      <w:r>
        <w:rPr>
          <w:rFonts w:asciiTheme="majorBidi" w:hAnsiTheme="majorBidi" w:cstheme="majorBidi"/>
          <w:bCs/>
          <w:sz w:val="26"/>
          <w:szCs w:val="26"/>
        </w:rPr>
        <w:t xml:space="preserve">, </w:t>
      </w:r>
      <w:hyperlink r:id="rId12" w:history="1">
        <w:r w:rsidRPr="00836648">
          <w:rPr>
            <w:rStyle w:val="Hyperlink"/>
            <w:rFonts w:asciiTheme="majorBidi" w:hAnsiTheme="majorBidi" w:cstheme="majorBidi"/>
            <w:bCs/>
            <w:i/>
            <w:iCs/>
            <w:sz w:val="26"/>
            <w:szCs w:val="26"/>
            <w:lang w:val="en-US"/>
          </w:rPr>
          <w:t>irmansyah@radenfatah.ac.id</w:t>
        </w:r>
      </w:hyperlink>
    </w:p>
    <w:p w:rsidR="00F44B5D" w:rsidRDefault="00F44B5D" w:rsidP="00D8313D">
      <w:pPr>
        <w:spacing w:after="0" w:line="240" w:lineRule="auto"/>
        <w:rPr>
          <w:rFonts w:asciiTheme="majorBidi" w:hAnsiTheme="majorBidi" w:cstheme="majorBidi"/>
          <w:bCs/>
          <w:sz w:val="26"/>
          <w:szCs w:val="26"/>
          <w:lang w:val="en-US"/>
        </w:rPr>
      </w:pPr>
    </w:p>
    <w:p w:rsidR="006D5346" w:rsidRPr="006D5346" w:rsidRDefault="006D5346" w:rsidP="006D5346">
      <w:pPr>
        <w:spacing w:after="0" w:line="240" w:lineRule="auto"/>
        <w:rPr>
          <w:rFonts w:ascii="Times New Roman" w:eastAsia="Times New Roman" w:hAnsi="Times New Roman" w:cs="Times New Roman"/>
          <w:sz w:val="24"/>
          <w:szCs w:val="24"/>
          <w:lang w:val="en-US"/>
        </w:rPr>
      </w:pPr>
    </w:p>
    <w:p w:rsidR="006D5346" w:rsidRDefault="006D5346" w:rsidP="006D5346">
      <w:pPr>
        <w:spacing w:after="0" w:line="240" w:lineRule="auto"/>
        <w:jc w:val="center"/>
        <w:rPr>
          <w:rFonts w:ascii="Times New Roman" w:eastAsia="Times New Roman" w:hAnsi="Times New Roman" w:cs="Times New Roman"/>
          <w:b/>
          <w:bCs/>
          <w:i/>
          <w:iCs/>
          <w:sz w:val="24"/>
          <w:szCs w:val="24"/>
          <w:lang w:val="en-US"/>
        </w:rPr>
      </w:pPr>
      <w:r w:rsidRPr="006D5346">
        <w:rPr>
          <w:rFonts w:ascii="Times New Roman" w:eastAsia="Times New Roman" w:hAnsi="Times New Roman" w:cs="Times New Roman"/>
          <w:b/>
          <w:bCs/>
          <w:i/>
          <w:iCs/>
          <w:sz w:val="24"/>
          <w:szCs w:val="24"/>
          <w:lang w:val="en-US"/>
        </w:rPr>
        <w:t>Abstract</w:t>
      </w:r>
    </w:p>
    <w:p w:rsidR="006D5346" w:rsidRDefault="006D5346" w:rsidP="006D5346">
      <w:pPr>
        <w:spacing w:after="0" w:line="240" w:lineRule="auto"/>
        <w:jc w:val="both"/>
        <w:rPr>
          <w:rFonts w:ascii="Times New Roman" w:eastAsia="Times New Roman" w:hAnsi="Times New Roman" w:cs="Times New Roman"/>
          <w:sz w:val="24"/>
          <w:szCs w:val="24"/>
          <w:lang w:val="en-US"/>
        </w:rPr>
      </w:pPr>
      <w:r w:rsidRPr="006D5346">
        <w:rPr>
          <w:rFonts w:ascii="Times New Roman" w:eastAsia="Times New Roman" w:hAnsi="Times New Roman" w:cs="Times New Roman"/>
          <w:sz w:val="24"/>
          <w:szCs w:val="24"/>
          <w:lang w:val="en-US"/>
        </w:rPr>
        <w:br/>
        <w:t xml:space="preserve">The teaching of qirā’ah (reading) in Arabic education faces several challenges, particularly the lack of innovative methods and learning materials that engage students in contextual reading. This research aims to develop a qirā’ah teaching material based on </w:t>
      </w:r>
      <w:r w:rsidRPr="006D5346">
        <w:rPr>
          <w:rFonts w:ascii="Times New Roman" w:eastAsia="Times New Roman" w:hAnsi="Times New Roman" w:cs="Times New Roman"/>
          <w:i/>
          <w:iCs/>
          <w:sz w:val="24"/>
          <w:szCs w:val="24"/>
          <w:lang w:val="en-US"/>
        </w:rPr>
        <w:t>Baina Yadaik</w:t>
      </w:r>
      <w:r w:rsidRPr="006D5346">
        <w:rPr>
          <w:rFonts w:ascii="Times New Roman" w:eastAsia="Times New Roman" w:hAnsi="Times New Roman" w:cs="Times New Roman"/>
          <w:sz w:val="24"/>
          <w:szCs w:val="24"/>
          <w:lang w:val="en-US"/>
        </w:rPr>
        <w:t xml:space="preserve"> integrated with the Inside Outside Circle (IOC) learning model at MTs Ittihadul Ulum Lubuklinggau. The research employs a Research and Development (R&amp;D) method using a simplified version of the Borg &amp; Gall model, involving stages such as potential and problem analysis, data collection, product design, validation, revision, and limited trials. The findings indicate a significant improvement in students' reading abilities after using the developed material, demonstrating the effectiveness of the IOC model in enhancing interaction, comprehension, and vocabulary mastery. This study concludes that integrating IOC with </w:t>
      </w:r>
      <w:r w:rsidRPr="006D5346">
        <w:rPr>
          <w:rFonts w:ascii="Times New Roman" w:eastAsia="Times New Roman" w:hAnsi="Times New Roman" w:cs="Times New Roman"/>
          <w:i/>
          <w:iCs/>
          <w:sz w:val="24"/>
          <w:szCs w:val="24"/>
          <w:lang w:val="en-US"/>
        </w:rPr>
        <w:t>Baina Yadaik</w:t>
      </w:r>
      <w:r w:rsidRPr="006D5346">
        <w:rPr>
          <w:rFonts w:ascii="Times New Roman" w:eastAsia="Times New Roman" w:hAnsi="Times New Roman" w:cs="Times New Roman"/>
          <w:sz w:val="24"/>
          <w:szCs w:val="24"/>
          <w:lang w:val="en-US"/>
        </w:rPr>
        <w:t xml:space="preserve"> not only improves students' reading skills but also provides a model for innovative, student-centered Arabic language teaching. Future studies could explore the application of this method in other schools or educational contexts.</w:t>
      </w:r>
    </w:p>
    <w:p w:rsidR="006D5346" w:rsidRDefault="006D5346" w:rsidP="006D5346">
      <w:pPr>
        <w:spacing w:before="100" w:beforeAutospacing="1" w:after="100" w:afterAutospacing="1" w:line="240" w:lineRule="auto"/>
        <w:jc w:val="both"/>
        <w:rPr>
          <w:rFonts w:asciiTheme="majorBidi" w:hAnsiTheme="majorBidi" w:cstheme="majorBidi"/>
          <w:i/>
          <w:iCs/>
          <w:lang w:val="en-US"/>
        </w:rPr>
      </w:pPr>
      <w:r w:rsidRPr="006D5346">
        <w:rPr>
          <w:rStyle w:val="Strong"/>
          <w:rFonts w:asciiTheme="majorBidi" w:hAnsiTheme="majorBidi" w:cstheme="majorBidi"/>
          <w:i/>
          <w:iCs/>
        </w:rPr>
        <w:t>Keywords</w:t>
      </w:r>
      <w:r w:rsidRPr="006D5346">
        <w:rPr>
          <w:rFonts w:asciiTheme="majorBidi" w:hAnsiTheme="majorBidi" w:cstheme="majorBidi"/>
          <w:i/>
          <w:iCs/>
        </w:rPr>
        <w:t>:</w:t>
      </w:r>
      <w:r w:rsidRPr="006D5346">
        <w:rPr>
          <w:rFonts w:asciiTheme="majorBidi" w:hAnsiTheme="majorBidi" w:cstheme="majorBidi"/>
          <w:i/>
          <w:iCs/>
          <w:lang w:val="en-US"/>
        </w:rPr>
        <w:t xml:space="preserve"> </w:t>
      </w:r>
      <w:r w:rsidRPr="006D5346">
        <w:rPr>
          <w:rFonts w:asciiTheme="majorBidi" w:hAnsiTheme="majorBidi" w:cstheme="majorBidi"/>
          <w:i/>
          <w:iCs/>
        </w:rPr>
        <w:t>Teaching Materials, Reading, Inside Outside Circle.</w:t>
      </w:r>
    </w:p>
    <w:p w:rsidR="006D5346" w:rsidRPr="006D5346" w:rsidRDefault="006D5346" w:rsidP="006D5346">
      <w:pPr>
        <w:spacing w:before="100" w:beforeAutospacing="1" w:after="100" w:afterAutospacing="1" w:line="240" w:lineRule="auto"/>
        <w:jc w:val="both"/>
        <w:rPr>
          <w:rFonts w:asciiTheme="majorBidi" w:eastAsia="Times New Roman" w:hAnsiTheme="majorBidi" w:cstheme="majorBidi"/>
          <w:i/>
          <w:iCs/>
          <w:sz w:val="24"/>
          <w:szCs w:val="24"/>
          <w:lang w:val="en-US"/>
        </w:rPr>
      </w:pPr>
    </w:p>
    <w:p w:rsidR="006D5346" w:rsidRDefault="006D5346" w:rsidP="006D5346">
      <w:pPr>
        <w:spacing w:after="0" w:line="240" w:lineRule="auto"/>
        <w:jc w:val="center"/>
        <w:rPr>
          <w:rFonts w:ascii="Times New Roman" w:eastAsia="Times New Roman" w:hAnsi="Times New Roman" w:cs="Times New Roman"/>
          <w:b/>
          <w:bCs/>
          <w:sz w:val="24"/>
          <w:szCs w:val="24"/>
          <w:lang w:val="en-US"/>
        </w:rPr>
      </w:pPr>
      <w:r w:rsidRPr="006D5346">
        <w:rPr>
          <w:rFonts w:ascii="Times New Roman" w:eastAsia="Times New Roman" w:hAnsi="Times New Roman" w:cs="Times New Roman"/>
          <w:b/>
          <w:bCs/>
          <w:sz w:val="24"/>
          <w:szCs w:val="24"/>
          <w:lang w:val="en-US"/>
        </w:rPr>
        <w:t>Abstrak</w:t>
      </w:r>
    </w:p>
    <w:p w:rsidR="006D5346" w:rsidRPr="006D5346" w:rsidRDefault="006D5346" w:rsidP="006D5346">
      <w:pPr>
        <w:spacing w:after="0" w:line="240" w:lineRule="auto"/>
        <w:jc w:val="both"/>
        <w:rPr>
          <w:rFonts w:ascii="Times New Roman" w:eastAsia="Times New Roman" w:hAnsi="Times New Roman" w:cs="Times New Roman"/>
          <w:sz w:val="24"/>
          <w:szCs w:val="24"/>
          <w:lang w:val="en-US"/>
        </w:rPr>
      </w:pPr>
      <w:r w:rsidRPr="006D5346">
        <w:rPr>
          <w:rFonts w:ascii="Times New Roman" w:eastAsia="Times New Roman" w:hAnsi="Times New Roman" w:cs="Times New Roman"/>
          <w:sz w:val="24"/>
          <w:szCs w:val="24"/>
          <w:lang w:val="en-US"/>
        </w:rPr>
        <w:br/>
        <w:t xml:space="preserve">Pengajaran qirā’ah dalam pendidikan bahasa Arab menghadapi berbagai tantangan, terutama kurangnya metode dan materi pembelajaran inovatif yang dapat melibatkan siswa dalam membaca secara kontekstual. Penelitian ini bertujuan untuk mengembangkan bahan ajar qirā’ah berbasis </w:t>
      </w:r>
      <w:r w:rsidRPr="006D5346">
        <w:rPr>
          <w:rFonts w:ascii="Times New Roman" w:eastAsia="Times New Roman" w:hAnsi="Times New Roman" w:cs="Times New Roman"/>
          <w:i/>
          <w:iCs/>
          <w:sz w:val="24"/>
          <w:szCs w:val="24"/>
          <w:lang w:val="en-US"/>
        </w:rPr>
        <w:t>Baina Yadaik</w:t>
      </w:r>
      <w:r w:rsidRPr="006D5346">
        <w:rPr>
          <w:rFonts w:ascii="Times New Roman" w:eastAsia="Times New Roman" w:hAnsi="Times New Roman" w:cs="Times New Roman"/>
          <w:sz w:val="24"/>
          <w:szCs w:val="24"/>
          <w:lang w:val="en-US"/>
        </w:rPr>
        <w:t xml:space="preserve"> yang dipadukan dengan model pembelajaran Inside Outside Circle (IOC) di MTs Ittihadul Ulum Lubuklinggau. Penelitian ini menggunakan metode Penelitian dan Pengembangan (R&amp;D) dengan model Borg &amp; Gall yang disederhanakan, yang melibatkan tahapan analisis potensi dan masalah, pengumpulan data, desain produk, validasi, revisi, dan uji coba terbatas. Hasil </w:t>
      </w:r>
      <w:r w:rsidRPr="006D5346">
        <w:rPr>
          <w:rFonts w:ascii="Times New Roman" w:eastAsia="Times New Roman" w:hAnsi="Times New Roman" w:cs="Times New Roman"/>
          <w:sz w:val="24"/>
          <w:szCs w:val="24"/>
          <w:lang w:val="en-US"/>
        </w:rPr>
        <w:lastRenderedPageBreak/>
        <w:t xml:space="preserve">penelitian menunjukkan adanya peningkatan signifikan dalam kemampuan membaca siswa setelah menggunakan bahan ajar yang dikembangkan, yang membuktikan efektivitas model IOC dalam meningkatkan interaksi, pemahaman, dan penguasaan kosakata. Penelitian ini menyimpulkan bahwa pengintegrasian IOC dengan </w:t>
      </w:r>
      <w:r w:rsidRPr="006D5346">
        <w:rPr>
          <w:rFonts w:ascii="Times New Roman" w:eastAsia="Times New Roman" w:hAnsi="Times New Roman" w:cs="Times New Roman"/>
          <w:i/>
          <w:iCs/>
          <w:sz w:val="24"/>
          <w:szCs w:val="24"/>
          <w:lang w:val="en-US"/>
        </w:rPr>
        <w:t>Baina Yadaik</w:t>
      </w:r>
      <w:r w:rsidRPr="006D5346">
        <w:rPr>
          <w:rFonts w:ascii="Times New Roman" w:eastAsia="Times New Roman" w:hAnsi="Times New Roman" w:cs="Times New Roman"/>
          <w:sz w:val="24"/>
          <w:szCs w:val="24"/>
          <w:lang w:val="en-US"/>
        </w:rPr>
        <w:t xml:space="preserve"> tidak hanya meningkatkan keterampilan membaca siswa, tetapi juga memberikan model pembelajaran bahasa Arab yang inovatif dan berpusat pada siswa. Penelitian lanjutan dapat mengeksplorasi penerapan metode ini di sekolah atau konteks pendidikan lainnya.</w:t>
      </w:r>
    </w:p>
    <w:p w:rsidR="006D5346" w:rsidRDefault="006D5346" w:rsidP="006D5346">
      <w:pPr>
        <w:pStyle w:val="NormalWeb"/>
      </w:pPr>
      <w:r>
        <w:rPr>
          <w:rStyle w:val="Strong"/>
        </w:rPr>
        <w:t>Kata Kunci</w:t>
      </w:r>
      <w:r>
        <w:t xml:space="preserve">: </w:t>
      </w:r>
      <w:r>
        <w:t>Bahan Ajar, Qira'ah, Inside Outside Circle.</w:t>
      </w:r>
    </w:p>
    <w:p w:rsidR="006D5346" w:rsidRDefault="006D5346" w:rsidP="00434A76">
      <w:pPr>
        <w:spacing w:after="0" w:line="240" w:lineRule="auto"/>
        <w:ind w:left="567" w:right="566"/>
        <w:jc w:val="both"/>
        <w:rPr>
          <w:rFonts w:asciiTheme="majorBidi" w:hAnsiTheme="majorBidi" w:cstheme="majorBidi"/>
          <w:b/>
          <w:i/>
          <w:iCs/>
          <w:sz w:val="26"/>
          <w:szCs w:val="26"/>
          <w:lang w:val="en-US"/>
        </w:rPr>
      </w:pPr>
    </w:p>
    <w:p w:rsidR="00F23ECB" w:rsidRPr="006D5346" w:rsidRDefault="00F23ECB" w:rsidP="006D5346">
      <w:pPr>
        <w:spacing w:after="0" w:line="240" w:lineRule="auto"/>
        <w:ind w:right="566"/>
        <w:jc w:val="both"/>
        <w:rPr>
          <w:rFonts w:ascii="Times New Roman" w:hAnsi="Times New Roman" w:cs="Times New Roman"/>
          <w:b/>
          <w:bCs/>
          <w:i/>
          <w:iCs/>
          <w:sz w:val="24"/>
          <w:szCs w:val="24"/>
          <w:lang w:val="en-US"/>
        </w:rPr>
      </w:pPr>
    </w:p>
    <w:p w:rsidR="00A45332" w:rsidRPr="00A45332" w:rsidRDefault="001C1049" w:rsidP="006D5346">
      <w:pPr>
        <w:spacing w:after="0" w:line="276" w:lineRule="auto"/>
        <w:ind w:right="566"/>
        <w:jc w:val="both"/>
        <w:rPr>
          <w:rFonts w:asciiTheme="majorBidi" w:hAnsiTheme="majorBidi" w:cstheme="majorBidi"/>
          <w:b/>
          <w:bCs/>
          <w:sz w:val="24"/>
          <w:szCs w:val="24"/>
          <w:lang w:val="en-US"/>
        </w:rPr>
      </w:pPr>
      <w:r>
        <w:rPr>
          <w:rFonts w:ascii="Times New Roman" w:hAnsi="Times New Roman" w:cs="Times New Roman"/>
          <w:b/>
          <w:bCs/>
          <w:sz w:val="24"/>
          <w:szCs w:val="24"/>
        </w:rPr>
        <w:t>Pendahuluan</w:t>
      </w:r>
      <w:r w:rsidR="00F23ECB">
        <w:rPr>
          <w:rFonts w:ascii="Sakkal Majalla" w:hAnsi="Sakkal Majalla" w:cs="Sakkal Majalla"/>
          <w:b/>
          <w:bCs/>
          <w:sz w:val="24"/>
          <w:szCs w:val="24"/>
        </w:rPr>
        <w:t xml:space="preserve"> </w:t>
      </w:r>
    </w:p>
    <w:p w:rsidR="00A45332" w:rsidRPr="000C5C14" w:rsidRDefault="00A45332" w:rsidP="00A45332">
      <w:pPr>
        <w:spacing w:line="276" w:lineRule="auto"/>
        <w:ind w:firstLine="851"/>
        <w:jc w:val="both"/>
        <w:rPr>
          <w:rFonts w:asciiTheme="majorBidi" w:eastAsia="Times New Roman" w:hAnsiTheme="majorBidi" w:cstheme="majorBidi"/>
          <w:color w:val="202124"/>
          <w:sz w:val="24"/>
          <w:szCs w:val="24"/>
          <w:lang w:eastAsia="id-ID"/>
        </w:rPr>
      </w:pPr>
      <w:r w:rsidRPr="00A45332">
        <w:rPr>
          <w:rFonts w:asciiTheme="majorBidi" w:eastAsia="Times New Roman" w:hAnsiTheme="majorBidi" w:cstheme="majorBidi"/>
          <w:color w:val="202124"/>
          <w:sz w:val="24"/>
          <w:szCs w:val="24"/>
          <w:lang w:eastAsia="id-ID"/>
        </w:rPr>
        <w:t>Pendidikan bahasa Arab di Indonesia terus menghadapi berbagai tantangan di tengah perkembangan zaman, globalisasi informasi, dan kemajuan teknologi. Tidak dapat dipungkiri bahwa dinamika global, kemajuan ilmu pengetahuan dan teknologi, serta perubahan dalam seni dan budaya turut memengaruhi transformasi masyarakat, bangsa, dan negara Indonesia</w:t>
      </w:r>
      <w:r w:rsidR="000C5C14">
        <w:rPr>
          <w:rStyle w:val="FootnoteReference"/>
          <w:rFonts w:asciiTheme="majorBidi" w:eastAsia="Times New Roman" w:hAnsiTheme="majorBidi" w:cstheme="majorBidi"/>
          <w:color w:val="202124"/>
          <w:sz w:val="24"/>
          <w:szCs w:val="24"/>
          <w:lang w:eastAsia="id-ID"/>
        </w:rPr>
        <w:footnoteReference w:id="1"/>
      </w:r>
      <w:r w:rsidRPr="00A45332">
        <w:rPr>
          <w:rFonts w:asciiTheme="majorBidi" w:eastAsia="Times New Roman" w:hAnsiTheme="majorBidi" w:cstheme="majorBidi"/>
          <w:color w:val="202124"/>
          <w:sz w:val="24"/>
          <w:szCs w:val="24"/>
          <w:lang w:eastAsia="id-ID"/>
        </w:rPr>
        <w:t>. Dalam konteks ini, pengajaran bahasa Arab di Indonesia belum menunjukkan hasil yang optimal. Beragam faktor turut memengaruhi kondisi ini, mulai dari kurikulum yang kurang relevan dengan kebutuhan peserta didik</w:t>
      </w:r>
      <w:r w:rsidR="00635736">
        <w:rPr>
          <w:rStyle w:val="FootnoteReference"/>
          <w:rFonts w:asciiTheme="majorBidi" w:eastAsia="Times New Roman" w:hAnsiTheme="majorBidi" w:cstheme="majorBidi"/>
          <w:color w:val="202124"/>
          <w:sz w:val="24"/>
          <w:szCs w:val="24"/>
          <w:lang w:eastAsia="id-ID"/>
        </w:rPr>
        <w:footnoteReference w:id="2"/>
      </w:r>
      <w:r w:rsidRPr="00A45332">
        <w:rPr>
          <w:rFonts w:asciiTheme="majorBidi" w:eastAsia="Times New Roman" w:hAnsiTheme="majorBidi" w:cstheme="majorBidi"/>
          <w:color w:val="202124"/>
          <w:sz w:val="24"/>
          <w:szCs w:val="24"/>
          <w:lang w:eastAsia="id-ID"/>
        </w:rPr>
        <w:t>, kompetensi guru yang belum sepenuhnya menguasai teori dan metode pembelajaran modern, hingga materi ajar yang belum mencerminkan keterpaduan antara tujuan pembelajaran dengan kurikulum yang berlaku</w:t>
      </w:r>
      <w:r w:rsidR="000C5C14">
        <w:rPr>
          <w:rStyle w:val="FootnoteReference"/>
          <w:rFonts w:asciiTheme="majorBidi" w:eastAsia="Times New Roman" w:hAnsiTheme="majorBidi" w:cstheme="majorBidi"/>
          <w:color w:val="202124"/>
          <w:sz w:val="24"/>
          <w:szCs w:val="24"/>
          <w:lang w:eastAsia="id-ID"/>
        </w:rPr>
        <w:footnoteReference w:id="3"/>
      </w:r>
      <w:r w:rsidRPr="00A45332">
        <w:rPr>
          <w:rFonts w:asciiTheme="majorBidi" w:eastAsia="Times New Roman" w:hAnsiTheme="majorBidi" w:cstheme="majorBidi"/>
          <w:color w:val="202124"/>
          <w:sz w:val="24"/>
          <w:szCs w:val="24"/>
          <w:lang w:eastAsia="id-ID"/>
        </w:rPr>
        <w:t>.</w:t>
      </w:r>
    </w:p>
    <w:p w:rsidR="00A45332" w:rsidRPr="00A45332" w:rsidRDefault="00A45332" w:rsidP="00A45332">
      <w:pPr>
        <w:spacing w:line="276" w:lineRule="auto"/>
        <w:ind w:firstLine="851"/>
        <w:jc w:val="both"/>
        <w:rPr>
          <w:rFonts w:asciiTheme="majorBidi" w:eastAsia="Times New Roman" w:hAnsiTheme="majorBidi" w:cstheme="majorBidi"/>
          <w:color w:val="202124"/>
          <w:sz w:val="24"/>
          <w:szCs w:val="24"/>
          <w:lang w:val="en-US" w:eastAsia="id-ID"/>
        </w:rPr>
      </w:pPr>
      <w:r w:rsidRPr="00A45332">
        <w:rPr>
          <w:rFonts w:asciiTheme="majorBidi" w:eastAsia="Times New Roman" w:hAnsiTheme="majorBidi" w:cstheme="majorBidi"/>
          <w:color w:val="202124"/>
          <w:sz w:val="24"/>
          <w:szCs w:val="24"/>
          <w:lang w:eastAsia="id-ID"/>
        </w:rPr>
        <w:t>Salah satu keterampilan mendasar (maharah asasiyah) dalam pengajaran bahasa Arab adalah keterampilan membaca (qira’ah)</w:t>
      </w:r>
      <w:r w:rsidR="0043467A">
        <w:rPr>
          <w:rStyle w:val="FootnoteReference"/>
          <w:rFonts w:asciiTheme="majorBidi" w:eastAsia="Times New Roman" w:hAnsiTheme="majorBidi" w:cstheme="majorBidi"/>
          <w:color w:val="202124"/>
          <w:sz w:val="24"/>
          <w:szCs w:val="24"/>
          <w:lang w:eastAsia="id-ID"/>
        </w:rPr>
        <w:footnoteReference w:id="4"/>
      </w:r>
      <w:r w:rsidRPr="00A45332">
        <w:rPr>
          <w:rFonts w:asciiTheme="majorBidi" w:eastAsia="Times New Roman" w:hAnsiTheme="majorBidi" w:cstheme="majorBidi"/>
          <w:color w:val="202124"/>
          <w:sz w:val="24"/>
          <w:szCs w:val="24"/>
          <w:lang w:eastAsia="id-ID"/>
        </w:rPr>
        <w:t>. Kemampuan ini tidak hanya penting secara akademik, melainkan juga menjadi landasan dalam penguasaan keempat keterampilan berbahasa: istima’, kalam, qira’ah, dan kitabah</w:t>
      </w:r>
      <w:r w:rsidR="00635736">
        <w:rPr>
          <w:rStyle w:val="FootnoteReference"/>
          <w:rFonts w:asciiTheme="majorBidi" w:eastAsia="Times New Roman" w:hAnsiTheme="majorBidi" w:cstheme="majorBidi"/>
          <w:color w:val="202124"/>
          <w:sz w:val="24"/>
          <w:szCs w:val="24"/>
          <w:lang w:eastAsia="id-ID"/>
        </w:rPr>
        <w:footnoteReference w:id="5"/>
      </w:r>
      <w:r w:rsidRPr="00A45332">
        <w:rPr>
          <w:rFonts w:asciiTheme="majorBidi" w:eastAsia="Times New Roman" w:hAnsiTheme="majorBidi" w:cstheme="majorBidi"/>
          <w:color w:val="202124"/>
          <w:sz w:val="24"/>
          <w:szCs w:val="24"/>
          <w:lang w:eastAsia="id-ID"/>
        </w:rPr>
        <w:t xml:space="preserve">. Penguasaan qira’ah </w:t>
      </w:r>
      <w:r w:rsidRPr="00A45332">
        <w:rPr>
          <w:rFonts w:asciiTheme="majorBidi" w:eastAsia="Times New Roman" w:hAnsiTheme="majorBidi" w:cstheme="majorBidi"/>
          <w:color w:val="202124"/>
          <w:sz w:val="24"/>
          <w:szCs w:val="24"/>
          <w:lang w:eastAsia="id-ID"/>
        </w:rPr>
        <w:lastRenderedPageBreak/>
        <w:t>memungkinkan siswa memahami isi bacaan, mengenali struktur kalimat, menguasai kosakata baru, serta mengakses beragam informasi dari teks-teks Arab, baik klasik maupun modern</w:t>
      </w:r>
      <w:r w:rsidR="0043467A">
        <w:rPr>
          <w:rStyle w:val="FootnoteReference"/>
          <w:rFonts w:asciiTheme="majorBidi" w:eastAsia="Times New Roman" w:hAnsiTheme="majorBidi" w:cstheme="majorBidi"/>
          <w:color w:val="202124"/>
          <w:sz w:val="24"/>
          <w:szCs w:val="24"/>
          <w:lang w:eastAsia="id-ID"/>
        </w:rPr>
        <w:footnoteReference w:id="6"/>
      </w:r>
      <w:r w:rsidRPr="00A45332">
        <w:rPr>
          <w:rFonts w:asciiTheme="majorBidi" w:eastAsia="Times New Roman" w:hAnsiTheme="majorBidi" w:cstheme="majorBidi"/>
          <w:color w:val="202124"/>
          <w:sz w:val="24"/>
          <w:szCs w:val="24"/>
          <w:lang w:eastAsia="id-ID"/>
        </w:rPr>
        <w:t>. Selain itu, keterampilan membaca juga merupakan jembatan penting dalam memahami ajaran agama melalui literatur Islam seperti Al-Qur’an, hadis, dan kitab-kitab turats. Sejalan dengan hal tersebut, Rachmayani (2015) menekankan bahwa membaca berperan besar dalam pembentukan wawasan intelektual, memberi akses terhadap warisan budaya, serta berfungsi sebagai sarana komunikasi sosial dan akademik</w:t>
      </w:r>
      <w:r w:rsidR="00635736">
        <w:rPr>
          <w:rStyle w:val="FootnoteReference"/>
          <w:rFonts w:asciiTheme="majorBidi" w:eastAsia="Times New Roman" w:hAnsiTheme="majorBidi" w:cstheme="majorBidi"/>
          <w:color w:val="202124"/>
          <w:sz w:val="24"/>
          <w:szCs w:val="24"/>
          <w:lang w:eastAsia="id-ID"/>
        </w:rPr>
        <w:footnoteReference w:id="7"/>
      </w:r>
      <w:r w:rsidRPr="00A45332">
        <w:rPr>
          <w:rFonts w:asciiTheme="majorBidi" w:eastAsia="Times New Roman" w:hAnsiTheme="majorBidi" w:cstheme="majorBidi"/>
          <w:color w:val="202124"/>
          <w:sz w:val="24"/>
          <w:szCs w:val="24"/>
          <w:lang w:eastAsia="id-ID"/>
        </w:rPr>
        <w:t>. Oleh karena itu, pembelajaran qira’ah tidak seharusnya hanya berfokus pada aspek fonetik atau pelafalan, tetapi juga pada pemahaman makna, analisis struktur kalimat, serta pengembangan kemampuan berpikir kritis terhadap teks.</w:t>
      </w:r>
    </w:p>
    <w:p w:rsidR="00A45332" w:rsidRPr="0043467A" w:rsidRDefault="00A45332" w:rsidP="0043467A">
      <w:pPr>
        <w:spacing w:line="276" w:lineRule="auto"/>
        <w:ind w:firstLine="851"/>
        <w:jc w:val="both"/>
        <w:rPr>
          <w:rFonts w:asciiTheme="majorBidi" w:eastAsia="Times New Roman" w:hAnsiTheme="majorBidi" w:cstheme="majorBidi"/>
          <w:color w:val="202124"/>
          <w:sz w:val="24"/>
          <w:szCs w:val="24"/>
          <w:lang w:val="en-US" w:eastAsia="id-ID"/>
        </w:rPr>
      </w:pPr>
      <w:r w:rsidRPr="00A45332">
        <w:rPr>
          <w:rFonts w:asciiTheme="majorBidi" w:eastAsia="Times New Roman" w:hAnsiTheme="majorBidi" w:cstheme="majorBidi"/>
          <w:color w:val="202124"/>
          <w:sz w:val="24"/>
          <w:szCs w:val="24"/>
          <w:lang w:eastAsia="id-ID"/>
        </w:rPr>
        <w:t>Salah satu pendekatan yang dapat memperkuat pembelajaran qira’ah adalah pengembangan bahan ajar yang menarik dan kontekstual. Penelitian yang dilakukan oleh Abdul Ghofur (2019) menunjukkan bahwa penggunaan kitab Al-Arabiyah Baina Yadaik mampu meningkatkan kompetensi bahasa Arab siswa, bahkan bagi mereka yang sebelumnya memiliki latar belakang kemampuan dasar yang rendah</w:t>
      </w:r>
      <w:r w:rsidR="00635736">
        <w:rPr>
          <w:rStyle w:val="FootnoteReference"/>
          <w:rFonts w:asciiTheme="majorBidi" w:eastAsia="Times New Roman" w:hAnsiTheme="majorBidi" w:cstheme="majorBidi"/>
          <w:color w:val="202124"/>
          <w:sz w:val="24"/>
          <w:szCs w:val="24"/>
          <w:lang w:eastAsia="id-ID"/>
        </w:rPr>
        <w:footnoteReference w:id="8"/>
      </w:r>
      <w:r w:rsidRPr="00A45332">
        <w:rPr>
          <w:rFonts w:asciiTheme="majorBidi" w:eastAsia="Times New Roman" w:hAnsiTheme="majorBidi" w:cstheme="majorBidi"/>
          <w:color w:val="202124"/>
          <w:sz w:val="24"/>
          <w:szCs w:val="24"/>
          <w:lang w:eastAsia="id-ID"/>
        </w:rPr>
        <w:t>. Kitab ini dinilai telah memenuhi standar isi buku teks bahasa Arab dan memberikan keleluasaan bagi guru dalam mengevaluasi dan mengembangkan proses</w:t>
      </w:r>
      <w:r w:rsidR="0043467A">
        <w:rPr>
          <w:rFonts w:asciiTheme="majorBidi" w:eastAsia="Times New Roman" w:hAnsiTheme="majorBidi" w:cstheme="majorBidi"/>
          <w:color w:val="202124"/>
          <w:sz w:val="24"/>
          <w:szCs w:val="24"/>
          <w:lang w:eastAsia="id-ID"/>
        </w:rPr>
        <w:t xml:space="preserve"> pembelajaran secara fleksibel</w:t>
      </w:r>
      <w:r w:rsidR="0043467A">
        <w:rPr>
          <w:rStyle w:val="FootnoteReference"/>
          <w:rFonts w:asciiTheme="majorBidi" w:eastAsia="Times New Roman" w:hAnsiTheme="majorBidi" w:cstheme="majorBidi"/>
          <w:color w:val="202124"/>
          <w:sz w:val="24"/>
          <w:szCs w:val="24"/>
          <w:lang w:eastAsia="id-ID"/>
        </w:rPr>
        <w:footnoteReference w:id="9"/>
      </w:r>
      <w:r w:rsidR="0043467A">
        <w:rPr>
          <w:rFonts w:asciiTheme="majorBidi" w:eastAsia="Times New Roman" w:hAnsiTheme="majorBidi" w:cstheme="majorBidi"/>
          <w:color w:val="202124"/>
          <w:sz w:val="24"/>
          <w:szCs w:val="24"/>
          <w:lang w:val="en-US" w:eastAsia="id-ID"/>
        </w:rPr>
        <w:t>.</w:t>
      </w:r>
    </w:p>
    <w:p w:rsidR="00A45332" w:rsidRPr="0043467A" w:rsidRDefault="00A45332" w:rsidP="0043467A">
      <w:pPr>
        <w:spacing w:line="276" w:lineRule="auto"/>
        <w:ind w:firstLine="851"/>
        <w:jc w:val="both"/>
        <w:rPr>
          <w:rFonts w:asciiTheme="majorBidi" w:eastAsia="Times New Roman" w:hAnsiTheme="majorBidi" w:cstheme="majorBidi"/>
          <w:color w:val="202124"/>
          <w:sz w:val="24"/>
          <w:szCs w:val="24"/>
          <w:lang w:eastAsia="id-ID"/>
        </w:rPr>
      </w:pPr>
      <w:r w:rsidRPr="00A45332">
        <w:rPr>
          <w:rFonts w:asciiTheme="majorBidi" w:eastAsia="Times New Roman" w:hAnsiTheme="majorBidi" w:cstheme="majorBidi"/>
          <w:color w:val="202124"/>
          <w:sz w:val="24"/>
          <w:szCs w:val="24"/>
          <w:lang w:eastAsia="id-ID"/>
        </w:rPr>
        <w:t>Agar proses pembelajaran lebih efektif, penerapan model pembelajaran kooperatif dapat menjadi strategi yang relevan. Salah satu model yang terbukti efektif adalah Inside Outside Circle (IOC) yang dikembangkan oleh Spencer Kagan. Model ini memungkinkan siswa untuk saling bertukar informasi secara aktif dan berulang melalui interaksi dalam dua lingkaran yang bergerak secara dinamis</w:t>
      </w:r>
      <w:r w:rsidR="0043467A">
        <w:rPr>
          <w:rStyle w:val="FootnoteReference"/>
          <w:rFonts w:asciiTheme="majorBidi" w:eastAsia="Times New Roman" w:hAnsiTheme="majorBidi" w:cstheme="majorBidi"/>
          <w:color w:val="202124"/>
          <w:sz w:val="24"/>
          <w:szCs w:val="24"/>
          <w:lang w:eastAsia="id-ID"/>
        </w:rPr>
        <w:footnoteReference w:id="10"/>
      </w:r>
      <w:r w:rsidR="0043467A">
        <w:rPr>
          <w:rFonts w:asciiTheme="majorBidi" w:eastAsia="Times New Roman" w:hAnsiTheme="majorBidi" w:cstheme="majorBidi"/>
          <w:color w:val="202124"/>
          <w:sz w:val="24"/>
          <w:szCs w:val="24"/>
          <w:lang w:val="en-US" w:eastAsia="id-ID"/>
        </w:rPr>
        <w:t xml:space="preserve">. </w:t>
      </w:r>
      <w:r w:rsidRPr="00A45332">
        <w:rPr>
          <w:rFonts w:asciiTheme="majorBidi" w:eastAsia="Times New Roman" w:hAnsiTheme="majorBidi" w:cstheme="majorBidi"/>
          <w:color w:val="202124"/>
          <w:sz w:val="24"/>
          <w:szCs w:val="24"/>
          <w:lang w:eastAsia="id-ID"/>
        </w:rPr>
        <w:t>Efektivitas model IOC dalam meningkatkan hasil belajar telah dibuktikan dalam berbagai mata pelajaran, sebagaimana dilaporkan oleh Hidayati (2018) dan Julita (2017). Dalam konteks pembelajaran bahasa, model IOC dapat membantu siswa membangun pemahaman terhadap teks melalui diskusi, tanya jawab, dan analisis makna, sehingga sangat cocok untuk diterapkan dalam pembelajaran qira’ah</w:t>
      </w:r>
      <w:r w:rsidR="0043467A">
        <w:rPr>
          <w:rStyle w:val="FootnoteReference"/>
          <w:rFonts w:asciiTheme="majorBidi" w:eastAsia="Times New Roman" w:hAnsiTheme="majorBidi" w:cstheme="majorBidi"/>
          <w:color w:val="202124"/>
          <w:sz w:val="24"/>
          <w:szCs w:val="24"/>
          <w:lang w:eastAsia="id-ID"/>
        </w:rPr>
        <w:footnoteReference w:id="11"/>
      </w:r>
      <w:r w:rsidRPr="00A45332">
        <w:rPr>
          <w:rFonts w:asciiTheme="majorBidi" w:eastAsia="Times New Roman" w:hAnsiTheme="majorBidi" w:cstheme="majorBidi"/>
          <w:color w:val="202124"/>
          <w:sz w:val="24"/>
          <w:szCs w:val="24"/>
          <w:lang w:eastAsia="id-ID"/>
        </w:rPr>
        <w:t>.</w:t>
      </w:r>
    </w:p>
    <w:p w:rsidR="00A45332" w:rsidRPr="0043467A" w:rsidRDefault="00A45332" w:rsidP="00A45332">
      <w:pPr>
        <w:spacing w:line="276" w:lineRule="auto"/>
        <w:ind w:firstLine="851"/>
        <w:jc w:val="both"/>
        <w:rPr>
          <w:rFonts w:asciiTheme="majorBidi" w:eastAsia="Times New Roman" w:hAnsiTheme="majorBidi" w:cstheme="majorBidi"/>
          <w:color w:val="202124"/>
          <w:sz w:val="24"/>
          <w:szCs w:val="24"/>
          <w:lang w:eastAsia="id-ID"/>
        </w:rPr>
      </w:pPr>
      <w:r w:rsidRPr="00A45332">
        <w:rPr>
          <w:rFonts w:asciiTheme="majorBidi" w:eastAsia="Times New Roman" w:hAnsiTheme="majorBidi" w:cstheme="majorBidi"/>
          <w:color w:val="202124"/>
          <w:sz w:val="24"/>
          <w:szCs w:val="24"/>
          <w:lang w:eastAsia="id-ID"/>
        </w:rPr>
        <w:lastRenderedPageBreak/>
        <w:t>Metode penelitian yang digunakan dalam kajian ini adalah Research and Development (R\&amp;D). Model penelitian ini berfokus pada pengembangan produk berupa bahan ajar dan pengujian efektivitas produk tersebut. Sugiyono (2015) menjelaskan bahwa pendekatan R\&amp;D bertujuan untuk menghasilkan dan menguji efektivitas suatu produk, sedangkan menurut Sukmadinata, pendekatan ini merupakan proses penciptaan atau penyempurnaan produk yang dapat dipertanggungjawabkan secara ilmiah</w:t>
      </w:r>
      <w:r w:rsidR="0043467A">
        <w:rPr>
          <w:rStyle w:val="FootnoteReference"/>
          <w:rFonts w:asciiTheme="majorBidi" w:eastAsia="Times New Roman" w:hAnsiTheme="majorBidi" w:cstheme="majorBidi"/>
          <w:color w:val="202124"/>
          <w:sz w:val="24"/>
          <w:szCs w:val="24"/>
          <w:lang w:eastAsia="id-ID"/>
        </w:rPr>
        <w:footnoteReference w:id="12"/>
      </w:r>
      <w:r w:rsidRPr="00A45332">
        <w:rPr>
          <w:rFonts w:asciiTheme="majorBidi" w:eastAsia="Times New Roman" w:hAnsiTheme="majorBidi" w:cstheme="majorBidi"/>
          <w:color w:val="202124"/>
          <w:sz w:val="24"/>
          <w:szCs w:val="24"/>
          <w:lang w:eastAsia="id-ID"/>
        </w:rPr>
        <w:t>. Dalam konteks ini, bahan ajar yang dikembangkan tidak hanya merevisi urutan dan struktur isi kitab Baina Yadaik, tetapi juga menambahkan latihan-latihan yang mendorong keterampilan berpikir kritis, kemampuan menyusun kalimat dan teks, serta kegiatan diskusi lisan yang sesuai dengan sistematika ilmu nahwu da</w:t>
      </w:r>
      <w:r w:rsidR="0043467A">
        <w:rPr>
          <w:rFonts w:asciiTheme="majorBidi" w:eastAsia="Times New Roman" w:hAnsiTheme="majorBidi" w:cstheme="majorBidi"/>
          <w:color w:val="202124"/>
          <w:sz w:val="24"/>
          <w:szCs w:val="24"/>
          <w:lang w:eastAsia="id-ID"/>
        </w:rPr>
        <w:t xml:space="preserve">n pendekatan komunikatif </w:t>
      </w:r>
      <w:r w:rsidR="0043467A">
        <w:rPr>
          <w:rStyle w:val="FootnoteReference"/>
          <w:rFonts w:asciiTheme="majorBidi" w:eastAsia="Times New Roman" w:hAnsiTheme="majorBidi" w:cstheme="majorBidi"/>
          <w:color w:val="202124"/>
          <w:sz w:val="24"/>
          <w:szCs w:val="24"/>
          <w:lang w:eastAsia="id-ID"/>
        </w:rPr>
        <w:footnoteReference w:id="13"/>
      </w:r>
      <w:r w:rsidRPr="00A45332">
        <w:rPr>
          <w:rFonts w:asciiTheme="majorBidi" w:eastAsia="Times New Roman" w:hAnsiTheme="majorBidi" w:cstheme="majorBidi"/>
          <w:color w:val="202124"/>
          <w:sz w:val="24"/>
          <w:szCs w:val="24"/>
          <w:lang w:eastAsia="id-ID"/>
        </w:rPr>
        <w:t>.</w:t>
      </w:r>
    </w:p>
    <w:p w:rsidR="00A45332" w:rsidRPr="00A45332" w:rsidRDefault="00A45332" w:rsidP="00A45332">
      <w:pPr>
        <w:spacing w:line="276" w:lineRule="auto"/>
        <w:ind w:firstLine="851"/>
        <w:jc w:val="both"/>
        <w:rPr>
          <w:rFonts w:asciiTheme="majorBidi" w:eastAsia="Times New Roman" w:hAnsiTheme="majorBidi" w:cstheme="majorBidi"/>
          <w:color w:val="202124"/>
          <w:sz w:val="24"/>
          <w:szCs w:val="24"/>
          <w:lang w:val="en-US" w:eastAsia="id-ID"/>
        </w:rPr>
      </w:pPr>
      <w:r w:rsidRPr="00A45332">
        <w:rPr>
          <w:rFonts w:asciiTheme="majorBidi" w:eastAsia="Times New Roman" w:hAnsiTheme="majorBidi" w:cstheme="majorBidi"/>
          <w:color w:val="202124"/>
          <w:sz w:val="24"/>
          <w:szCs w:val="24"/>
          <w:lang w:eastAsia="id-ID"/>
        </w:rPr>
        <w:t>Rumusan masalah dalam penelitian ini mencakup: (1) bagaimana proses pengembangan bahan ajar qira’ah menggunakan kitab Baina Yadaik dengan model pembelajaran Inside Outside Circle di MTs Ittihadul Ulum Lubuklinggau; (2) bagaimana tingkat kelayakan bahan ajar tersebut berdasarkan hasil validasi ahli dan uji coba terbatas; serta (3) bagaimana tanggapan siswa terhadap penggunaan bahan ajar tersebut dalam pembelajaran qira’ah.</w:t>
      </w:r>
    </w:p>
    <w:p w:rsidR="00A45332" w:rsidRPr="00A45332" w:rsidRDefault="00A45332" w:rsidP="00A45332">
      <w:pPr>
        <w:spacing w:line="276" w:lineRule="auto"/>
        <w:ind w:firstLine="851"/>
        <w:jc w:val="both"/>
        <w:rPr>
          <w:rFonts w:asciiTheme="majorBidi" w:eastAsia="Times New Roman" w:hAnsiTheme="majorBidi" w:cstheme="majorBidi"/>
          <w:color w:val="202124"/>
          <w:sz w:val="24"/>
          <w:szCs w:val="24"/>
          <w:lang w:eastAsia="id-ID"/>
        </w:rPr>
      </w:pPr>
      <w:r w:rsidRPr="00A45332">
        <w:rPr>
          <w:rFonts w:asciiTheme="majorBidi" w:eastAsia="Times New Roman" w:hAnsiTheme="majorBidi" w:cstheme="majorBidi"/>
          <w:color w:val="202124"/>
          <w:sz w:val="24"/>
          <w:szCs w:val="24"/>
          <w:lang w:eastAsia="id-ID"/>
        </w:rPr>
        <w:t>Tujuan dari penelitian ini adalah untuk mengembangkan bahan ajar qira’ah berbasis kitab Baina Yadaik yang dipadukan dengan model pembelajaran Inside Outside Circle, dengan tujuan meningkatkan pemahaman terhadap teks, kemampuan berpikir kritis, dan keterampilan komunikasi siswa dalam pembelajaran bahasa Arab di MTs Ittihadul Ulum Lubuklinggau.</w:t>
      </w:r>
    </w:p>
    <w:p w:rsidR="00A45332" w:rsidRPr="00A45332" w:rsidRDefault="00A45332" w:rsidP="00A45332">
      <w:pPr>
        <w:spacing w:line="276" w:lineRule="auto"/>
        <w:ind w:firstLine="851"/>
        <w:jc w:val="both"/>
        <w:rPr>
          <w:rFonts w:asciiTheme="majorBidi" w:eastAsia="Times New Roman" w:hAnsiTheme="majorBidi" w:cstheme="majorBidi"/>
          <w:color w:val="202124"/>
          <w:sz w:val="24"/>
          <w:szCs w:val="24"/>
          <w:lang w:eastAsia="id-ID"/>
        </w:rPr>
      </w:pPr>
      <w:r w:rsidRPr="00A45332">
        <w:rPr>
          <w:rFonts w:asciiTheme="majorBidi" w:eastAsia="Times New Roman" w:hAnsiTheme="majorBidi" w:cstheme="majorBidi"/>
          <w:color w:val="202124"/>
          <w:sz w:val="24"/>
          <w:szCs w:val="24"/>
          <w:lang w:eastAsia="id-ID"/>
        </w:rPr>
        <w:t>Melalui pengembangan ini, diharapkan dapat dihasilkan produk bahan ajar yang tidak hanya layak dan efektif, tetapi juga mampu menghidupkan pembelajaran bahasa Arab secara lebih menyenangkan, partisipatif, dan berdampak positif terhadap peningkatan kompetensi membaca siswa madrasah.</w:t>
      </w:r>
    </w:p>
    <w:p w:rsidR="00962F2B" w:rsidRDefault="00962F2B" w:rsidP="00CB3A5C">
      <w:pPr>
        <w:tabs>
          <w:tab w:val="left" w:pos="851"/>
        </w:tabs>
        <w:spacing w:after="0" w:line="276" w:lineRule="auto"/>
        <w:ind w:right="-1"/>
        <w:jc w:val="both"/>
        <w:rPr>
          <w:rFonts w:asciiTheme="majorBidi" w:hAnsiTheme="majorBidi" w:cstheme="majorBidi"/>
          <w:sz w:val="24"/>
          <w:szCs w:val="24"/>
        </w:rPr>
      </w:pPr>
    </w:p>
    <w:p w:rsidR="00CB3A5C" w:rsidRPr="006D5346" w:rsidRDefault="006D5346" w:rsidP="006D5346">
      <w:pPr>
        <w:spacing w:after="0" w:line="276" w:lineRule="auto"/>
        <w:jc w:val="both"/>
        <w:rPr>
          <w:rFonts w:asciiTheme="majorBidi" w:hAnsiTheme="majorBidi" w:cstheme="majorBidi"/>
          <w:b/>
          <w:bCs/>
          <w:sz w:val="24"/>
          <w:szCs w:val="24"/>
          <w:lang w:val="en-US"/>
        </w:rPr>
      </w:pPr>
      <w:r>
        <w:rPr>
          <w:rFonts w:asciiTheme="majorBidi" w:hAnsiTheme="majorBidi" w:cstheme="majorBidi"/>
          <w:b/>
          <w:bCs/>
          <w:sz w:val="24"/>
          <w:szCs w:val="24"/>
        </w:rPr>
        <w:t>Metode</w:t>
      </w:r>
    </w:p>
    <w:p w:rsidR="00FF380F" w:rsidRPr="00FF380F" w:rsidRDefault="00FF380F" w:rsidP="00FF380F">
      <w:pPr>
        <w:tabs>
          <w:tab w:val="left" w:pos="851"/>
        </w:tabs>
        <w:spacing w:after="0" w:line="276" w:lineRule="auto"/>
        <w:ind w:right="-1"/>
        <w:rPr>
          <w:rFonts w:asciiTheme="majorBidi" w:hAnsiTheme="majorBidi" w:cstheme="majorBidi"/>
          <w:sz w:val="24"/>
          <w:szCs w:val="24"/>
        </w:rPr>
      </w:pPr>
    </w:p>
    <w:p w:rsidR="00FF380F" w:rsidRPr="00FF380F" w:rsidRDefault="00FF380F" w:rsidP="0043467A">
      <w:pPr>
        <w:tabs>
          <w:tab w:val="left" w:pos="851"/>
        </w:tabs>
        <w:spacing w:after="0" w:line="276" w:lineRule="auto"/>
        <w:ind w:right="-1"/>
        <w:jc w:val="both"/>
        <w:rPr>
          <w:rFonts w:asciiTheme="majorBidi" w:hAnsiTheme="majorBidi" w:cstheme="majorBidi"/>
          <w:sz w:val="24"/>
          <w:szCs w:val="24"/>
        </w:rPr>
      </w:pPr>
      <w:r>
        <w:rPr>
          <w:rFonts w:asciiTheme="majorBidi" w:hAnsiTheme="majorBidi" w:cstheme="majorBidi"/>
          <w:sz w:val="24"/>
          <w:szCs w:val="24"/>
          <w:lang w:val="en-US"/>
        </w:rPr>
        <w:tab/>
      </w:r>
      <w:r w:rsidRPr="00FF380F">
        <w:rPr>
          <w:rFonts w:asciiTheme="majorBidi" w:hAnsiTheme="majorBidi" w:cstheme="majorBidi"/>
          <w:sz w:val="24"/>
          <w:szCs w:val="24"/>
        </w:rPr>
        <w:t xml:space="preserve">Pembelajaran maharah qirā’ah dalam Bahasa Arab di tingkat Tsanawiyah masih menghadapi berbagai tantangan, terutama terkait kurangnya inovasi metode dan media pembelajaran yang mampu memotivasi siswa untuk memahami teks bacaan </w:t>
      </w:r>
      <w:r w:rsidRPr="00FF380F">
        <w:rPr>
          <w:rFonts w:asciiTheme="majorBidi" w:hAnsiTheme="majorBidi" w:cstheme="majorBidi"/>
          <w:sz w:val="24"/>
          <w:szCs w:val="24"/>
        </w:rPr>
        <w:lastRenderedPageBreak/>
        <w:t>secara kontekstual</w:t>
      </w:r>
      <w:r w:rsidR="0043467A">
        <w:rPr>
          <w:rStyle w:val="FootnoteReference"/>
          <w:rFonts w:asciiTheme="majorBidi" w:hAnsiTheme="majorBidi" w:cstheme="majorBidi"/>
          <w:sz w:val="24"/>
          <w:szCs w:val="24"/>
        </w:rPr>
        <w:footnoteReference w:id="14"/>
      </w:r>
      <w:r w:rsidRPr="00FF380F">
        <w:rPr>
          <w:rFonts w:asciiTheme="majorBidi" w:hAnsiTheme="majorBidi" w:cstheme="majorBidi"/>
          <w:sz w:val="24"/>
          <w:szCs w:val="24"/>
        </w:rPr>
        <w:t>. MTs Ittihadul Ulum Lubuklinggau merupakan salah satu madrasah yang memiliki semangat pengembangan, namun masih menggunakan pendekatan konvensional dalam pengajaran membaca Arab. Model pembelajaran Inside Outside Circle (IOC) menawarkan pendekatan kolaboratif yang dapat mendorong keterlibatan aktif siswa melalui interaksi berpasangan dan bergiliran. Sementara itu, kitab Baina Yadaik merupakan salah satu bahan ajar standar internasional yang kaya konten dan menekankan penguasaan bahasa dalam konteks kehidupan nyata</w:t>
      </w:r>
      <w:r w:rsidR="0043467A">
        <w:rPr>
          <w:rStyle w:val="FootnoteReference"/>
          <w:rFonts w:asciiTheme="majorBidi" w:hAnsiTheme="majorBidi" w:cstheme="majorBidi"/>
          <w:sz w:val="24"/>
          <w:szCs w:val="24"/>
        </w:rPr>
        <w:footnoteReference w:id="15"/>
      </w:r>
      <w:r w:rsidRPr="00FF380F">
        <w:rPr>
          <w:rFonts w:asciiTheme="majorBidi" w:hAnsiTheme="majorBidi" w:cstheme="majorBidi"/>
          <w:sz w:val="24"/>
          <w:szCs w:val="24"/>
        </w:rPr>
        <w:t>. Integrasi antara model IOC dan bahan ajar Baina Yadaik diharapkan mampu meningkatkan kemampuan qirā’ah siswa secara lebih menyenangkan dan bermakna. Oleh karena itu, penelitian ini berfokus pada pengembangan dan efektivitas bahan ajar qirā’ah berbasis Baina Yadaik menggunakan model IOC di MTs Ittihadul Ulum Lubuklinggau.</w:t>
      </w: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r>
        <w:rPr>
          <w:rFonts w:asciiTheme="majorBidi" w:hAnsiTheme="majorBidi" w:cstheme="majorBidi"/>
          <w:sz w:val="24"/>
          <w:szCs w:val="24"/>
          <w:lang w:val="en-US"/>
        </w:rPr>
        <w:tab/>
      </w:r>
      <w:r w:rsidRPr="00FF380F">
        <w:rPr>
          <w:rFonts w:asciiTheme="majorBidi" w:hAnsiTheme="majorBidi" w:cstheme="majorBidi"/>
          <w:sz w:val="24"/>
          <w:szCs w:val="24"/>
        </w:rPr>
        <w:t>Penelitian ini merupakan penelitian dan pengembangan (Research and Development/R\&amp;D) yang bertujuan untuk menghasilkan produk berupa bahan ajar qirā’ah yang valid, praktis, dan efektif. Model pengembangan yang digunakan mengadaptasi langkah-langkah dari Borg and Gall yang disederhanakan menjadi enam tahapan, yaitu: (1) potensi dan masalah; (2) pengumpulan data awal; (3) desain produk; (4) validasi produk; (5) revisi produk; dan (6) uji coba terbatas. Model ini dipilih untuk memastikan produk yang dikembangkan sesuai dengan kebutuhan siswa serta mendukung ketercapaian tujuan pembelajaran qirā’ah secara optimal.</w:t>
      </w:r>
    </w:p>
    <w:p w:rsidR="00FF380F" w:rsidRPr="00FF380F" w:rsidRDefault="00FF380F" w:rsidP="00FF380F">
      <w:pPr>
        <w:tabs>
          <w:tab w:val="left" w:pos="851"/>
        </w:tabs>
        <w:spacing w:after="0" w:line="276" w:lineRule="auto"/>
        <w:ind w:right="-1"/>
        <w:rPr>
          <w:rFonts w:asciiTheme="majorBidi" w:hAnsiTheme="majorBidi" w:cstheme="majorBidi"/>
          <w:sz w:val="24"/>
          <w:szCs w:val="24"/>
        </w:rPr>
      </w:pP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r>
        <w:rPr>
          <w:rFonts w:asciiTheme="majorBidi" w:hAnsiTheme="majorBidi" w:cstheme="majorBidi"/>
          <w:sz w:val="24"/>
          <w:szCs w:val="24"/>
          <w:lang w:val="en-US"/>
        </w:rPr>
        <w:tab/>
      </w:r>
      <w:r w:rsidRPr="00FF380F">
        <w:rPr>
          <w:rFonts w:asciiTheme="majorBidi" w:hAnsiTheme="majorBidi" w:cstheme="majorBidi"/>
          <w:sz w:val="24"/>
          <w:szCs w:val="24"/>
        </w:rPr>
        <w:t>Subjek penelitian adalah siswa kelas II MTs Ittihadul Ulum Lubuklinggau yang dipilih melalui teknik purposive sampling, dengan mempertimbangkan tingkat kemampuan dasar Bahasa Arab yang telah dimiliki oleh siswa. Teknik ini memungkinkan peneliti memilih subjek yang sesuai untuk menguji keefektifan bahan ajar yang dikembangkan</w:t>
      </w:r>
      <w:r w:rsidR="0043467A">
        <w:rPr>
          <w:rStyle w:val="FootnoteReference"/>
          <w:rFonts w:asciiTheme="majorBidi" w:hAnsiTheme="majorBidi" w:cstheme="majorBidi"/>
          <w:sz w:val="24"/>
          <w:szCs w:val="24"/>
        </w:rPr>
        <w:footnoteReference w:id="16"/>
      </w:r>
      <w:r w:rsidRPr="00FF380F">
        <w:rPr>
          <w:rFonts w:asciiTheme="majorBidi" w:hAnsiTheme="majorBidi" w:cstheme="majorBidi"/>
          <w:sz w:val="24"/>
          <w:szCs w:val="24"/>
        </w:rPr>
        <w:t>.</w:t>
      </w:r>
    </w:p>
    <w:p w:rsidR="00FF380F" w:rsidRPr="00FF380F" w:rsidRDefault="00FF380F" w:rsidP="00FF380F">
      <w:pPr>
        <w:tabs>
          <w:tab w:val="left" w:pos="851"/>
        </w:tabs>
        <w:spacing w:after="0" w:line="276" w:lineRule="auto"/>
        <w:ind w:right="-1"/>
        <w:rPr>
          <w:rFonts w:asciiTheme="majorBidi" w:hAnsiTheme="majorBidi" w:cstheme="majorBidi"/>
          <w:sz w:val="24"/>
          <w:szCs w:val="24"/>
        </w:rPr>
      </w:pP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r w:rsidRPr="0043467A">
        <w:rPr>
          <w:rFonts w:asciiTheme="majorBidi" w:hAnsiTheme="majorBidi" w:cstheme="majorBidi"/>
          <w:sz w:val="24"/>
          <w:szCs w:val="24"/>
        </w:rPr>
        <w:tab/>
      </w:r>
      <w:r w:rsidRPr="00FF380F">
        <w:rPr>
          <w:rFonts w:asciiTheme="majorBidi" w:hAnsiTheme="majorBidi" w:cstheme="majorBidi"/>
          <w:sz w:val="24"/>
          <w:szCs w:val="24"/>
        </w:rPr>
        <w:t xml:space="preserve">Teknik pengumpulan data dalam penelitian ini meliputi tes, observasi, wawancara, dan dokumentasi. Tes dilakukan sebelum dan sesudah penggunaan bahan ajar untuk mengukur peningkatan kemampuan membaca siswa. Observasi dilaksanakan selama proses pembelajaran guna mengetahui respons dan keterlibatan siswa saat model IOC diterapkan. Wawancara dilakukan untuk menggali pendapat guru dan siswa mengenai kepraktisan serta daya tarik bahan ajar yang dikembangkan. Dokumentasi </w:t>
      </w:r>
      <w:r w:rsidRPr="00FF380F">
        <w:rPr>
          <w:rFonts w:asciiTheme="majorBidi" w:hAnsiTheme="majorBidi" w:cstheme="majorBidi"/>
          <w:sz w:val="24"/>
          <w:szCs w:val="24"/>
        </w:rPr>
        <w:lastRenderedPageBreak/>
        <w:t>digunakan untuk mencatat berbagai aktivitas dan data pendukung lainnya dalam proses pengembangan dan uji coba bahan ajar.</w:t>
      </w: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p>
    <w:p w:rsidR="00FF380F" w:rsidRPr="00FF380F" w:rsidRDefault="00FF380F" w:rsidP="00FF380F">
      <w:pPr>
        <w:tabs>
          <w:tab w:val="left" w:pos="851"/>
        </w:tabs>
        <w:spacing w:after="0" w:line="276" w:lineRule="auto"/>
        <w:ind w:right="-1"/>
        <w:jc w:val="both"/>
        <w:rPr>
          <w:rFonts w:asciiTheme="majorBidi" w:hAnsiTheme="majorBidi" w:cstheme="majorBidi"/>
          <w:sz w:val="24"/>
          <w:szCs w:val="24"/>
        </w:rPr>
      </w:pPr>
      <w:r>
        <w:rPr>
          <w:rFonts w:asciiTheme="majorBidi" w:hAnsiTheme="majorBidi" w:cstheme="majorBidi"/>
          <w:sz w:val="24"/>
          <w:szCs w:val="24"/>
          <w:lang w:val="en-US"/>
        </w:rPr>
        <w:tab/>
      </w:r>
      <w:r w:rsidRPr="00FF380F">
        <w:rPr>
          <w:rFonts w:asciiTheme="majorBidi" w:hAnsiTheme="majorBidi" w:cstheme="majorBidi"/>
          <w:sz w:val="24"/>
          <w:szCs w:val="24"/>
        </w:rPr>
        <w:t>Data hasil tes dianalisis secara kuantitatif menggunakan statistik deskriptif dan uji-t untuk mengetahui efektivitas produk terhadap peningkatan hasil belajar siswa. Sementara data dari observasi dan wawancara dianalisis secara kualitatif dengan pendekatan tematik untuk mengidentifikasi pola-pola dalam respons siswa dan guru terhadap penggunaan bahan ajar. Pendekatan analisis ini membantu memberikan gambaran menyeluruh mengenai kualitas dan efektivitas bahan ajar qirā’ah berbasis Baina Yadaik dengan model Inside Outside Circle.</w:t>
      </w:r>
    </w:p>
    <w:p w:rsidR="00FF380F" w:rsidRPr="00FF380F" w:rsidRDefault="00FF380F" w:rsidP="00FF380F">
      <w:pPr>
        <w:tabs>
          <w:tab w:val="left" w:pos="851"/>
        </w:tabs>
        <w:spacing w:after="0" w:line="276" w:lineRule="auto"/>
        <w:ind w:right="-1"/>
        <w:rPr>
          <w:rFonts w:asciiTheme="majorBidi" w:hAnsiTheme="majorBidi" w:cstheme="majorBidi"/>
          <w:sz w:val="24"/>
          <w:szCs w:val="24"/>
        </w:rPr>
      </w:pPr>
    </w:p>
    <w:p w:rsidR="00635736" w:rsidRPr="00635736" w:rsidRDefault="001C1049" w:rsidP="00635736">
      <w:pPr>
        <w:tabs>
          <w:tab w:val="left" w:pos="851"/>
        </w:tabs>
        <w:spacing w:after="0" w:line="276" w:lineRule="auto"/>
        <w:ind w:right="-1"/>
        <w:jc w:val="both"/>
        <w:rPr>
          <w:rFonts w:ascii="Sakkal Majalla" w:hAnsi="Sakkal Majalla" w:cs="Sakkal Majalla"/>
          <w:b/>
          <w:bCs/>
          <w:sz w:val="32"/>
          <w:szCs w:val="32"/>
        </w:rPr>
      </w:pPr>
      <w:r w:rsidRPr="00782A0F">
        <w:rPr>
          <w:rFonts w:asciiTheme="majorBidi" w:hAnsiTheme="majorBidi" w:cstheme="majorBidi"/>
          <w:b/>
          <w:bCs/>
          <w:sz w:val="24"/>
          <w:szCs w:val="24"/>
        </w:rPr>
        <w:t>Hasil Penelitian dan P</w:t>
      </w:r>
      <w:r w:rsidR="006D5346" w:rsidRPr="00635736">
        <w:rPr>
          <w:rFonts w:asciiTheme="majorBidi" w:hAnsiTheme="majorBidi" w:cstheme="majorBidi"/>
          <w:b/>
          <w:bCs/>
          <w:sz w:val="24"/>
          <w:szCs w:val="24"/>
        </w:rPr>
        <w:t>embahasan</w:t>
      </w: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Pr>
          <w:rFonts w:asciiTheme="majorBidi" w:hAnsiTheme="majorBidi" w:cstheme="majorBidi"/>
          <w:b/>
          <w:bCs/>
          <w:noProof/>
          <w:sz w:val="24"/>
          <w:szCs w:val="24"/>
          <w:lang w:val="en-US"/>
        </w:rPr>
        <w:drawing>
          <wp:anchor distT="0" distB="0" distL="114300" distR="114300" simplePos="0" relativeHeight="251662336" behindDoc="0" locked="0" layoutInCell="1" allowOverlap="1" wp14:anchorId="7454ECD4" wp14:editId="790E8722">
            <wp:simplePos x="0" y="0"/>
            <wp:positionH relativeFrom="column">
              <wp:posOffset>2284730</wp:posOffset>
            </wp:positionH>
            <wp:positionV relativeFrom="paragraph">
              <wp:posOffset>24130</wp:posOffset>
            </wp:positionV>
            <wp:extent cx="1276985" cy="17024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ru.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6985" cy="1702435"/>
                    </a:xfrm>
                    <a:prstGeom prst="rect">
                      <a:avLst/>
                    </a:prstGeom>
                  </pic:spPr>
                </pic:pic>
              </a:graphicData>
            </a:graphic>
            <wp14:sizeRelH relativeFrom="margin">
              <wp14:pctWidth>0</wp14:pctWidth>
            </wp14:sizeRelH>
            <wp14:sizeRelV relativeFrom="margin">
              <wp14:pctHeight>0</wp14:pctHeight>
            </wp14:sizeRelV>
          </wp:anchor>
        </w:drawing>
      </w: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Pr>
          <w:noProof/>
        </w:rPr>
        <mc:AlternateContent>
          <mc:Choice Requires="wps">
            <w:drawing>
              <wp:anchor distT="0" distB="0" distL="114300" distR="114300" simplePos="0" relativeHeight="251664384" behindDoc="0" locked="0" layoutInCell="1" allowOverlap="1" wp14:anchorId="7F262AC9" wp14:editId="76446D95">
                <wp:simplePos x="0" y="0"/>
                <wp:positionH relativeFrom="column">
                  <wp:posOffset>1748155</wp:posOffset>
                </wp:positionH>
                <wp:positionV relativeFrom="paragraph">
                  <wp:posOffset>216535</wp:posOffset>
                </wp:positionV>
                <wp:extent cx="2606675" cy="635"/>
                <wp:effectExtent l="0" t="0" r="3175" b="8255"/>
                <wp:wrapNone/>
                <wp:docPr id="9" name="Text Box 9"/>
                <wp:cNvGraphicFramePr/>
                <a:graphic xmlns:a="http://schemas.openxmlformats.org/drawingml/2006/main">
                  <a:graphicData uri="http://schemas.microsoft.com/office/word/2010/wordprocessingShape">
                    <wps:wsp>
                      <wps:cNvSpPr txBox="1"/>
                      <wps:spPr>
                        <a:xfrm>
                          <a:off x="0" y="0"/>
                          <a:ext cx="2606675" cy="635"/>
                        </a:xfrm>
                        <a:prstGeom prst="rect">
                          <a:avLst/>
                        </a:prstGeom>
                        <a:solidFill>
                          <a:prstClr val="white"/>
                        </a:solidFill>
                        <a:ln>
                          <a:noFill/>
                        </a:ln>
                        <a:effectLst/>
                      </wps:spPr>
                      <wps:txbx>
                        <w:txbxContent>
                          <w:p w:rsidR="00D54DD3" w:rsidRPr="00D54DD3" w:rsidRDefault="00D54DD3" w:rsidP="00D54DD3">
                            <w:pPr>
                              <w:pStyle w:val="Caption"/>
                              <w:rPr>
                                <w:rFonts w:asciiTheme="majorBidi" w:hAnsiTheme="majorBidi" w:cstheme="majorBidi"/>
                                <w:b w:val="0"/>
                                <w:bCs w:val="0"/>
                                <w:i/>
                                <w:iCs/>
                                <w:noProof/>
                                <w:color w:val="auto"/>
                                <w:sz w:val="24"/>
                                <w:szCs w:val="24"/>
                                <w:lang w:val="en-US"/>
                              </w:rPr>
                            </w:pPr>
                            <w:r w:rsidRPr="00D54DD3">
                              <w:rPr>
                                <w:rFonts w:asciiTheme="majorBidi" w:hAnsiTheme="majorBidi" w:cstheme="majorBidi"/>
                                <w:b w:val="0"/>
                                <w:bCs w:val="0"/>
                                <w:i/>
                                <w:iCs/>
                                <w:color w:val="auto"/>
                              </w:rPr>
                              <w:t xml:space="preserve">Dokumentasi </w:t>
                            </w:r>
                            <w:r w:rsidRPr="00D54DD3">
                              <w:rPr>
                                <w:rFonts w:asciiTheme="majorBidi" w:hAnsiTheme="majorBidi" w:cstheme="majorBidi"/>
                                <w:b w:val="0"/>
                                <w:bCs w:val="0"/>
                                <w:i/>
                                <w:iCs/>
                                <w:color w:val="auto"/>
                              </w:rPr>
                              <w:fldChar w:fldCharType="begin"/>
                            </w:r>
                            <w:r w:rsidRPr="00D54DD3">
                              <w:rPr>
                                <w:rFonts w:asciiTheme="majorBidi" w:hAnsiTheme="majorBidi" w:cstheme="majorBidi"/>
                                <w:b w:val="0"/>
                                <w:bCs w:val="0"/>
                                <w:i/>
                                <w:iCs/>
                                <w:color w:val="auto"/>
                              </w:rPr>
                              <w:instrText xml:space="preserve"> SEQ Dokumentasi \* ARABIC </w:instrText>
                            </w:r>
                            <w:r w:rsidRPr="00D54DD3">
                              <w:rPr>
                                <w:rFonts w:asciiTheme="majorBidi" w:hAnsiTheme="majorBidi" w:cstheme="majorBidi"/>
                                <w:b w:val="0"/>
                                <w:bCs w:val="0"/>
                                <w:i/>
                                <w:iCs/>
                                <w:color w:val="auto"/>
                              </w:rPr>
                              <w:fldChar w:fldCharType="separate"/>
                            </w:r>
                            <w:r w:rsidR="00635736">
                              <w:rPr>
                                <w:rFonts w:asciiTheme="majorBidi" w:hAnsiTheme="majorBidi" w:cstheme="majorBidi"/>
                                <w:b w:val="0"/>
                                <w:bCs w:val="0"/>
                                <w:i/>
                                <w:iCs/>
                                <w:noProof/>
                                <w:color w:val="auto"/>
                              </w:rPr>
                              <w:t>1</w:t>
                            </w:r>
                            <w:r w:rsidRPr="00D54DD3">
                              <w:rPr>
                                <w:rFonts w:asciiTheme="majorBidi" w:hAnsiTheme="majorBidi" w:cstheme="majorBidi"/>
                                <w:b w:val="0"/>
                                <w:bCs w:val="0"/>
                                <w:i/>
                                <w:iCs/>
                                <w:color w:val="auto"/>
                              </w:rPr>
                              <w:fldChar w:fldCharType="end"/>
                            </w:r>
                            <w:r w:rsidRPr="00D54DD3">
                              <w:rPr>
                                <w:rFonts w:asciiTheme="majorBidi" w:hAnsiTheme="majorBidi" w:cstheme="majorBidi"/>
                                <w:b w:val="0"/>
                                <w:bCs w:val="0"/>
                                <w:i/>
                                <w:iCs/>
                                <w:color w:val="auto"/>
                                <w:lang w:val="en-US"/>
                              </w:rPr>
                              <w:t xml:space="preserve"> wawancara bersama guru bahasa arab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7.65pt;margin-top:17.05pt;width:205.2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1MQIAAGsEAAAOAAAAZHJzL2Uyb0RvYy54bWysVFFv2jAQfp+0/2D5fQSYylZEqBgV0yTU&#10;VoKpz8ZxiCXH550NCfv1OzsJ7bo9TXsx57vzd7nvu2Nx19aGnRV6DTbnk9GYM2UlFNoec/59v/nw&#10;mTMfhC2EAatyflGe3y3fv1s0bq6mUIEpFDICsX7euJxXIbh5lnlZqVr4EThlKVgC1iLQFY9ZgaIh&#10;9Npk0/F4ljWAhUOQynvy3ndBvkz4ZalkeCxLrwIzOadvC+nEdB7imS0XYn5E4Sot+88Q//AVtdCW&#10;il6h7kUQ7IT6D6haSwQPZRhJqDMoSy1V6oG6mYzfdLOrhFOpFyLHuytN/v/ByofzEzJd5PyWMytq&#10;kmiv2sC+QMtuIzuN83NK2jlKCy25SeXB78kZm25LrOMvtcMoTjxfrtxGMEnO6Ww8m3264UxSbPbx&#10;JmJkL08d+vBVQc2ikXMk4RKf4rz1oUsdUmIlD0YXG21MvMTA2iA7CxK5qXRQPfhvWcbGXAvxVQfY&#10;eVSakr5K7LbrKlqhPbQ9BQcoLsQAQjdB3smNprJb4cOTQBoZaprWIDzSURpocg69xVkF+PNv/phP&#10;SlKUs4ZGMOf+x0mg4sx8s6RxnNfBwME4DIY91Wughie0YE4mkx5gMINZItTPtB2rWIVCwkqqlfMw&#10;mOvQLQJtl1SrVUqiqXQibO3OyQg90LtvnwW6XpxAmj7AMJxi/kajLjep5FanQIQnASOhHYskfLzQ&#10;RKcR6Lcvrszre8p6+Y9Y/gIAAP//AwBQSwMEFAAGAAgAAAAhAE4/mJPhAAAACQEAAA8AAABkcnMv&#10;ZG93bnJldi54bWxMj7FOwzAQhnck3sE6JBZEnSZpWoU4VVXBAEtF6NLNja9xID5HsdOGt8edynh3&#10;n/77/mI9mY6dcXCtJQHzWQQMqbaqpUbA/uvteQXMeUlKdpZQwC86WJf3d4XMlb3QJ54r37AQQi6X&#10;ArT3fc65qzUa6Wa2Rwq3kx2M9GEcGq4GeQnhpuNxFGXcyJbCBy173Gqsf6rRCNilh51+Gk+vH5s0&#10;Gd734zb7biohHh+mzQswj5O/wXDVD+pQBqejHUk51gmIl4skoAKSdA4sANlqEbocr4sYeFnw/w3K&#10;PwAAAP//AwBQSwECLQAUAAYACAAAACEAtoM4kv4AAADhAQAAEwAAAAAAAAAAAAAAAAAAAAAAW0Nv&#10;bnRlbnRfVHlwZXNdLnhtbFBLAQItABQABgAIAAAAIQA4/SH/1gAAAJQBAAALAAAAAAAAAAAAAAAA&#10;AC8BAABfcmVscy8ucmVsc1BLAQItABQABgAIAAAAIQBL+GE1MQIAAGsEAAAOAAAAAAAAAAAAAAAA&#10;AC4CAABkcnMvZTJvRG9jLnhtbFBLAQItABQABgAIAAAAIQBOP5iT4QAAAAkBAAAPAAAAAAAAAAAA&#10;AAAAAIsEAABkcnMvZG93bnJldi54bWxQSwUGAAAAAAQABADzAAAAmQUAAAAA&#10;" stroked="f">
                <v:textbox style="mso-fit-shape-to-text:t" inset="0,0,0,0">
                  <w:txbxContent>
                    <w:p w:rsidR="00D54DD3" w:rsidRPr="00D54DD3" w:rsidRDefault="00D54DD3" w:rsidP="00D54DD3">
                      <w:pPr>
                        <w:pStyle w:val="Caption"/>
                        <w:rPr>
                          <w:rFonts w:asciiTheme="majorBidi" w:hAnsiTheme="majorBidi" w:cstheme="majorBidi"/>
                          <w:b w:val="0"/>
                          <w:bCs w:val="0"/>
                          <w:i/>
                          <w:iCs/>
                          <w:noProof/>
                          <w:color w:val="auto"/>
                          <w:sz w:val="24"/>
                          <w:szCs w:val="24"/>
                          <w:lang w:val="en-US"/>
                        </w:rPr>
                      </w:pPr>
                      <w:r w:rsidRPr="00D54DD3">
                        <w:rPr>
                          <w:rFonts w:asciiTheme="majorBidi" w:hAnsiTheme="majorBidi" w:cstheme="majorBidi"/>
                          <w:b w:val="0"/>
                          <w:bCs w:val="0"/>
                          <w:i/>
                          <w:iCs/>
                          <w:color w:val="auto"/>
                        </w:rPr>
                        <w:t xml:space="preserve">Dokumentasi </w:t>
                      </w:r>
                      <w:r w:rsidRPr="00D54DD3">
                        <w:rPr>
                          <w:rFonts w:asciiTheme="majorBidi" w:hAnsiTheme="majorBidi" w:cstheme="majorBidi"/>
                          <w:b w:val="0"/>
                          <w:bCs w:val="0"/>
                          <w:i/>
                          <w:iCs/>
                          <w:color w:val="auto"/>
                        </w:rPr>
                        <w:fldChar w:fldCharType="begin"/>
                      </w:r>
                      <w:r w:rsidRPr="00D54DD3">
                        <w:rPr>
                          <w:rFonts w:asciiTheme="majorBidi" w:hAnsiTheme="majorBidi" w:cstheme="majorBidi"/>
                          <w:b w:val="0"/>
                          <w:bCs w:val="0"/>
                          <w:i/>
                          <w:iCs/>
                          <w:color w:val="auto"/>
                        </w:rPr>
                        <w:instrText xml:space="preserve"> SEQ Dokumentasi \* ARABIC </w:instrText>
                      </w:r>
                      <w:r w:rsidRPr="00D54DD3">
                        <w:rPr>
                          <w:rFonts w:asciiTheme="majorBidi" w:hAnsiTheme="majorBidi" w:cstheme="majorBidi"/>
                          <w:b w:val="0"/>
                          <w:bCs w:val="0"/>
                          <w:i/>
                          <w:iCs/>
                          <w:color w:val="auto"/>
                        </w:rPr>
                        <w:fldChar w:fldCharType="separate"/>
                      </w:r>
                      <w:r w:rsidR="00635736">
                        <w:rPr>
                          <w:rFonts w:asciiTheme="majorBidi" w:hAnsiTheme="majorBidi" w:cstheme="majorBidi"/>
                          <w:b w:val="0"/>
                          <w:bCs w:val="0"/>
                          <w:i/>
                          <w:iCs/>
                          <w:noProof/>
                          <w:color w:val="auto"/>
                        </w:rPr>
                        <w:t>1</w:t>
                      </w:r>
                      <w:r w:rsidRPr="00D54DD3">
                        <w:rPr>
                          <w:rFonts w:asciiTheme="majorBidi" w:hAnsiTheme="majorBidi" w:cstheme="majorBidi"/>
                          <w:b w:val="0"/>
                          <w:bCs w:val="0"/>
                          <w:i/>
                          <w:iCs/>
                          <w:color w:val="auto"/>
                        </w:rPr>
                        <w:fldChar w:fldCharType="end"/>
                      </w:r>
                      <w:r w:rsidRPr="00D54DD3">
                        <w:rPr>
                          <w:rFonts w:asciiTheme="majorBidi" w:hAnsiTheme="majorBidi" w:cstheme="majorBidi"/>
                          <w:b w:val="0"/>
                          <w:bCs w:val="0"/>
                          <w:i/>
                          <w:iCs/>
                          <w:color w:val="auto"/>
                          <w:lang w:val="en-US"/>
                        </w:rPr>
                        <w:t xml:space="preserve"> wawancara bersama guru bahasa arab</w:t>
                      </w:r>
                    </w:p>
                  </w:txbxContent>
                </v:textbox>
              </v:shape>
            </w:pict>
          </mc:Fallback>
        </mc:AlternateContent>
      </w: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p>
    <w:p w:rsidR="00D54DD3"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635736">
        <w:rPr>
          <w:rFonts w:ascii="Times New Roman" w:eastAsia="Times New Roman" w:hAnsi="Times New Roman" w:cs="Times New Roman"/>
          <w:sz w:val="24"/>
          <w:szCs w:val="24"/>
        </w:rPr>
        <w:t xml:space="preserve">Dalam pengumpulan data kualitatif, peneliti melakukan wawancara dengan guru Bahasa Arab kelas VIII, Bapak Ariyanto, S.Pd., di MTs Ittihadul Ulum Lubuklinggau pada Kamis, 20 Februari 2025. </w:t>
      </w:r>
      <w:r w:rsidRPr="00635736">
        <w:rPr>
          <w:rFonts w:ascii="Times New Roman" w:eastAsia="Times New Roman" w:hAnsi="Times New Roman" w:cs="Times New Roman"/>
          <w:sz w:val="24"/>
          <w:szCs w:val="24"/>
          <w:lang w:val="en-US"/>
        </w:rPr>
        <w:t xml:space="preserve">Wawancara ini bertujuan untuk memperoleh informasi mendalam mengenai proses pembelajaran maharah qira’ah, bahan ajar, serta relevansi penggunaan model </w:t>
      </w:r>
      <w:r w:rsidRPr="00635736">
        <w:rPr>
          <w:rFonts w:ascii="Times New Roman" w:eastAsia="Times New Roman" w:hAnsi="Times New Roman" w:cs="Times New Roman"/>
          <w:i/>
          <w:iCs/>
          <w:sz w:val="24"/>
          <w:szCs w:val="24"/>
          <w:lang w:val="en-US"/>
        </w:rPr>
        <w:t>Inside Outside Circle</w:t>
      </w:r>
      <w:r w:rsidRPr="00635736">
        <w:rPr>
          <w:rFonts w:ascii="Times New Roman" w:eastAsia="Times New Roman" w:hAnsi="Times New Roman" w:cs="Times New Roman"/>
          <w:sz w:val="24"/>
          <w:szCs w:val="24"/>
          <w:lang w:val="en-US"/>
        </w:rPr>
        <w:t xml:space="preserve">. Berdasarkan hasil wawancara, diketahui bahwa kemampuan qira’ah siswa tergolong bervariasi, di mana sebagian sudah mampu membaca dengan lancar, namun masih banyak yang mengalami kendala terutama dalam pelafalan huruf (makhārij al-ḥurūf). Metode pembelajaran yang digunakan selama ini adalah metode langsung, qowaid terjemah, komunikatif, dan membaca, namun media pembelajaran yang digunakan masih terbatas, dominan menggunakan kitab sebagai bahan ajar utama. Adapun bahan ajar qira’ah yang digunakan di kelas VIII ialah kitab </w:t>
      </w:r>
      <w:r w:rsidRPr="00635736">
        <w:rPr>
          <w:rFonts w:ascii="Times New Roman" w:eastAsia="Times New Roman" w:hAnsi="Times New Roman" w:cs="Times New Roman"/>
          <w:i/>
          <w:iCs/>
          <w:sz w:val="24"/>
          <w:szCs w:val="24"/>
          <w:lang w:val="en-US"/>
        </w:rPr>
        <w:t>Baina Yadaik</w:t>
      </w:r>
      <w:r w:rsidRPr="00635736">
        <w:rPr>
          <w:rFonts w:ascii="Times New Roman" w:eastAsia="Times New Roman" w:hAnsi="Times New Roman" w:cs="Times New Roman"/>
          <w:sz w:val="24"/>
          <w:szCs w:val="24"/>
          <w:lang w:val="en-US"/>
        </w:rPr>
        <w:t xml:space="preserve">, meskipun belum dimanfaatkan secara menyeluruh, dan sering dikombinasikan dengan teks dari sumber lain. Terkait model </w:t>
      </w:r>
      <w:r w:rsidRPr="00635736">
        <w:rPr>
          <w:rFonts w:ascii="Times New Roman" w:eastAsia="Times New Roman" w:hAnsi="Times New Roman" w:cs="Times New Roman"/>
          <w:i/>
          <w:iCs/>
          <w:sz w:val="24"/>
          <w:szCs w:val="24"/>
          <w:lang w:val="en-US"/>
        </w:rPr>
        <w:t>Inside Outside Circle</w:t>
      </w:r>
      <w:r w:rsidRPr="00635736">
        <w:rPr>
          <w:rFonts w:ascii="Times New Roman" w:eastAsia="Times New Roman" w:hAnsi="Times New Roman" w:cs="Times New Roman"/>
          <w:sz w:val="24"/>
          <w:szCs w:val="24"/>
          <w:lang w:val="en-US"/>
        </w:rPr>
        <w:t xml:space="preserve">, guru menilai bahwa model ini relevan dan efektif diterapkan dalam pembelajaran Bahasa Arab, khususnya dalam meningkatkan keterampilan membaca dan interaksi antarsiswa. Keterlibatan aktif siswa dalam pembelajaran interaktif juga terbukti memberikan hasil yang lebih baik. Guru berharap adanya pengembangan bahan ajar qira’ah yang menarik dan kontekstual guna meningkatkan motivasi dan kemampuan siswa dalam mempelajari Bahasa Arab. Berdasarkan hal tersebut, pengembangan bahan ajar qira’ah berbasis kitab </w:t>
      </w:r>
      <w:r w:rsidRPr="00635736">
        <w:rPr>
          <w:rFonts w:ascii="Times New Roman" w:eastAsia="Times New Roman" w:hAnsi="Times New Roman" w:cs="Times New Roman"/>
          <w:i/>
          <w:iCs/>
          <w:sz w:val="24"/>
          <w:szCs w:val="24"/>
          <w:lang w:val="en-US"/>
        </w:rPr>
        <w:t>Baina Yadaik</w:t>
      </w:r>
      <w:r w:rsidRPr="00635736">
        <w:rPr>
          <w:rFonts w:ascii="Times New Roman" w:eastAsia="Times New Roman" w:hAnsi="Times New Roman" w:cs="Times New Roman"/>
          <w:sz w:val="24"/>
          <w:szCs w:val="24"/>
          <w:lang w:val="en-US"/>
        </w:rPr>
        <w:t xml:space="preserve"> dengan model </w:t>
      </w:r>
      <w:r w:rsidRPr="00635736">
        <w:rPr>
          <w:rFonts w:ascii="Times New Roman" w:eastAsia="Times New Roman" w:hAnsi="Times New Roman" w:cs="Times New Roman"/>
          <w:i/>
          <w:iCs/>
          <w:sz w:val="24"/>
          <w:szCs w:val="24"/>
          <w:lang w:val="en-US"/>
        </w:rPr>
        <w:t>Inside Outside Circle</w:t>
      </w:r>
      <w:r w:rsidRPr="00635736">
        <w:rPr>
          <w:rFonts w:ascii="Times New Roman" w:eastAsia="Times New Roman" w:hAnsi="Times New Roman" w:cs="Times New Roman"/>
          <w:sz w:val="24"/>
          <w:szCs w:val="24"/>
          <w:lang w:val="en-US"/>
        </w:rPr>
        <w:t xml:space="preserve"> menjadi langkah strategis untuk menciptakan pembelajaran yang lebih efektif dan bermakna.</w:t>
      </w:r>
    </w:p>
    <w:p w:rsid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p>
    <w:p w:rsidR="00635736" w:rsidRPr="00635736" w:rsidRDefault="00635736" w:rsidP="0063573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bookmarkStart w:id="0" w:name="_GoBack"/>
      <w:r>
        <w:rPr>
          <w:rFonts w:asciiTheme="majorBidi" w:hAnsiTheme="majorBidi" w:cstheme="majorBidi"/>
          <w:b/>
          <w:bCs/>
          <w:noProof/>
          <w:sz w:val="24"/>
          <w:szCs w:val="24"/>
          <w:lang w:val="en-US"/>
        </w:rPr>
        <w:drawing>
          <wp:anchor distT="0" distB="0" distL="114300" distR="114300" simplePos="0" relativeHeight="251665408" behindDoc="0" locked="0" layoutInCell="1" allowOverlap="1" wp14:anchorId="5871CF11" wp14:editId="2121B26B">
            <wp:simplePos x="0" y="0"/>
            <wp:positionH relativeFrom="column">
              <wp:posOffset>2051685</wp:posOffset>
            </wp:positionH>
            <wp:positionV relativeFrom="paragraph">
              <wp:posOffset>6350</wp:posOffset>
            </wp:positionV>
            <wp:extent cx="1435735" cy="1914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e.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735" cy="1914525"/>
                    </a:xfrm>
                    <a:prstGeom prst="rect">
                      <a:avLst/>
                    </a:prstGeom>
                  </pic:spPr>
                </pic:pic>
              </a:graphicData>
            </a:graphic>
            <wp14:sizeRelH relativeFrom="margin">
              <wp14:pctWidth>0</wp14:pctWidth>
            </wp14:sizeRelH>
            <wp14:sizeRelV relativeFrom="margin">
              <wp14:pctHeight>0</wp14:pctHeight>
            </wp14:sizeRelV>
          </wp:anchor>
        </w:drawing>
      </w:r>
      <w:bookmarkEnd w:id="0"/>
    </w:p>
    <w:p w:rsidR="00D54DD3" w:rsidRDefault="00D54DD3"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r>
        <w:rPr>
          <w:rFonts w:asciiTheme="majorBidi" w:hAnsiTheme="majorBidi" w:cstheme="majorBidi"/>
          <w:sz w:val="24"/>
          <w:szCs w:val="24"/>
          <w:lang w:val="en-US"/>
        </w:rPr>
        <w:tab/>
      </w:r>
    </w:p>
    <w:p w:rsidR="00D54DD3" w:rsidRDefault="00D54DD3" w:rsidP="00CB3A5C">
      <w:pPr>
        <w:tabs>
          <w:tab w:val="left" w:pos="851"/>
        </w:tabs>
        <w:spacing w:after="0" w:line="276" w:lineRule="auto"/>
        <w:ind w:right="-1"/>
        <w:jc w:val="both"/>
        <w:rPr>
          <w:rFonts w:asciiTheme="majorBidi" w:hAnsiTheme="majorBidi" w:cstheme="majorBidi"/>
          <w:sz w:val="24"/>
          <w:szCs w:val="24"/>
          <w:lang w:val="en-US"/>
        </w:rPr>
      </w:pPr>
    </w:p>
    <w:p w:rsidR="00D54DD3" w:rsidRDefault="00D54DD3" w:rsidP="00CB3A5C">
      <w:pPr>
        <w:tabs>
          <w:tab w:val="left" w:pos="851"/>
        </w:tabs>
        <w:spacing w:after="0" w:line="276" w:lineRule="auto"/>
        <w:ind w:right="-1"/>
        <w:jc w:val="both"/>
        <w:rPr>
          <w:rFonts w:asciiTheme="majorBidi" w:hAnsiTheme="majorBidi" w:cstheme="majorBidi"/>
          <w:sz w:val="24"/>
          <w:szCs w:val="24"/>
          <w:lang w:val="en-US"/>
        </w:rPr>
      </w:pPr>
    </w:p>
    <w:p w:rsidR="000C5C14" w:rsidRDefault="00635736" w:rsidP="00CB3A5C">
      <w:pPr>
        <w:tabs>
          <w:tab w:val="left" w:pos="851"/>
        </w:tabs>
        <w:spacing w:after="0" w:line="276" w:lineRule="auto"/>
        <w:ind w:right="-1"/>
        <w:jc w:val="both"/>
        <w:rPr>
          <w:rFonts w:asciiTheme="majorBidi" w:hAnsiTheme="majorBidi" w:cstheme="majorBidi"/>
          <w:sz w:val="24"/>
          <w:szCs w:val="24"/>
          <w:lang w:val="en-US"/>
        </w:rPr>
      </w:pPr>
      <w:r>
        <w:rPr>
          <w:noProof/>
        </w:rPr>
        <mc:AlternateContent>
          <mc:Choice Requires="wps">
            <w:drawing>
              <wp:anchor distT="0" distB="0" distL="114300" distR="114300" simplePos="0" relativeHeight="251667456" behindDoc="0" locked="0" layoutInCell="1" allowOverlap="1" wp14:anchorId="72047743" wp14:editId="30604A30">
                <wp:simplePos x="0" y="0"/>
                <wp:positionH relativeFrom="column">
                  <wp:posOffset>1196340</wp:posOffset>
                </wp:positionH>
                <wp:positionV relativeFrom="paragraph">
                  <wp:posOffset>94615</wp:posOffset>
                </wp:positionV>
                <wp:extent cx="3609975" cy="635"/>
                <wp:effectExtent l="0" t="0" r="9525" b="2540"/>
                <wp:wrapNone/>
                <wp:docPr id="11" name="Text Box 11"/>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a:effectLst/>
                      </wps:spPr>
                      <wps:txbx>
                        <w:txbxContent>
                          <w:p w:rsidR="00635736" w:rsidRPr="00635736" w:rsidRDefault="00635736" w:rsidP="00635736">
                            <w:pPr>
                              <w:pStyle w:val="Caption"/>
                              <w:rPr>
                                <w:rFonts w:asciiTheme="majorBidi" w:hAnsiTheme="majorBidi" w:cstheme="majorBidi"/>
                                <w:b w:val="0"/>
                                <w:bCs w:val="0"/>
                                <w:i/>
                                <w:iCs/>
                                <w:noProof/>
                                <w:color w:val="auto"/>
                                <w:sz w:val="24"/>
                                <w:szCs w:val="24"/>
                                <w:lang w:val="en-US"/>
                              </w:rPr>
                            </w:pPr>
                            <w:r w:rsidRPr="00635736">
                              <w:rPr>
                                <w:rFonts w:asciiTheme="majorBidi" w:hAnsiTheme="majorBidi" w:cstheme="majorBidi"/>
                                <w:b w:val="0"/>
                                <w:bCs w:val="0"/>
                                <w:i/>
                                <w:iCs/>
                                <w:color w:val="auto"/>
                                <w:sz w:val="24"/>
                                <w:szCs w:val="24"/>
                              </w:rPr>
                              <w:t xml:space="preserve">Dokumentasi </w:t>
                            </w:r>
                            <w:r w:rsidRPr="00635736">
                              <w:rPr>
                                <w:rFonts w:asciiTheme="majorBidi" w:hAnsiTheme="majorBidi" w:cstheme="majorBidi"/>
                                <w:b w:val="0"/>
                                <w:bCs w:val="0"/>
                                <w:i/>
                                <w:iCs/>
                                <w:color w:val="auto"/>
                                <w:sz w:val="24"/>
                                <w:szCs w:val="24"/>
                              </w:rPr>
                              <w:fldChar w:fldCharType="begin"/>
                            </w:r>
                            <w:r w:rsidRPr="00635736">
                              <w:rPr>
                                <w:rFonts w:asciiTheme="majorBidi" w:hAnsiTheme="majorBidi" w:cstheme="majorBidi"/>
                                <w:b w:val="0"/>
                                <w:bCs w:val="0"/>
                                <w:i/>
                                <w:iCs/>
                                <w:color w:val="auto"/>
                                <w:sz w:val="24"/>
                                <w:szCs w:val="24"/>
                              </w:rPr>
                              <w:instrText xml:space="preserve"> SEQ Dokumentasi \* ARABIC </w:instrText>
                            </w:r>
                            <w:r w:rsidRPr="00635736">
                              <w:rPr>
                                <w:rFonts w:asciiTheme="majorBidi" w:hAnsiTheme="majorBidi" w:cstheme="majorBidi"/>
                                <w:b w:val="0"/>
                                <w:bCs w:val="0"/>
                                <w:i/>
                                <w:iCs/>
                                <w:color w:val="auto"/>
                                <w:sz w:val="24"/>
                                <w:szCs w:val="24"/>
                              </w:rPr>
                              <w:fldChar w:fldCharType="separate"/>
                            </w:r>
                            <w:r w:rsidRPr="00635736">
                              <w:rPr>
                                <w:rFonts w:asciiTheme="majorBidi" w:hAnsiTheme="majorBidi" w:cstheme="majorBidi"/>
                                <w:b w:val="0"/>
                                <w:bCs w:val="0"/>
                                <w:i/>
                                <w:iCs/>
                                <w:noProof/>
                                <w:color w:val="auto"/>
                                <w:sz w:val="24"/>
                                <w:szCs w:val="24"/>
                              </w:rPr>
                              <w:t>2</w:t>
                            </w:r>
                            <w:r w:rsidRPr="00635736">
                              <w:rPr>
                                <w:rFonts w:asciiTheme="majorBidi" w:hAnsiTheme="majorBidi" w:cstheme="majorBidi"/>
                                <w:b w:val="0"/>
                                <w:bCs w:val="0"/>
                                <w:i/>
                                <w:iCs/>
                                <w:color w:val="auto"/>
                                <w:sz w:val="24"/>
                                <w:szCs w:val="24"/>
                              </w:rPr>
                              <w:fldChar w:fldCharType="end"/>
                            </w:r>
                            <w:r w:rsidRPr="00635736">
                              <w:rPr>
                                <w:rFonts w:asciiTheme="majorBidi" w:hAnsiTheme="majorBidi" w:cstheme="majorBidi"/>
                                <w:b w:val="0"/>
                                <w:bCs w:val="0"/>
                                <w:i/>
                                <w:iCs/>
                                <w:color w:val="auto"/>
                                <w:sz w:val="24"/>
                                <w:szCs w:val="24"/>
                                <w:lang w:val="en-US"/>
                              </w:rPr>
                              <w:t xml:space="preserve"> Penerapan </w:t>
                            </w:r>
                            <w:r w:rsidRPr="00635736">
                              <w:rPr>
                                <w:rFonts w:asciiTheme="majorBidi" w:eastAsia="Times New Roman" w:hAnsiTheme="majorBidi" w:cstheme="majorBidi"/>
                                <w:b w:val="0"/>
                                <w:bCs w:val="0"/>
                                <w:i/>
                                <w:iCs/>
                                <w:color w:val="auto"/>
                                <w:sz w:val="24"/>
                                <w:szCs w:val="24"/>
                                <w:lang w:val="en-US"/>
                              </w:rPr>
                              <w:t>model Inside Outside Circle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1" o:spid="_x0000_s1027" type="#_x0000_t202" style="position:absolute;left:0;text-align:left;margin-left:94.2pt;margin-top:7.45pt;width:284.25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UxMwIAAHQEAAAOAAAAZHJzL2Uyb0RvYy54bWysVMFu2zAMvQ/YPwi6L05aNFuNOEWWIsOA&#10;oi2QDD0rshwLkEWNUmJnXz9KttOt22nYRaHIZ1J8j8zirmsMOyn0GmzBZ5MpZ8pKKLU9FPzbbvPh&#10;E2c+CFsKA1YV/Kw8v1u+f7doXa6uoAZTKmSUxPq8dQWvQ3B5lnlZq0b4CThlKVgBNiLQFQ9ZiaKl&#10;7I3JrqbTedYClg5BKu/Je98H+TLlryolw1NVeRWYKTi9LaQT07mPZ7ZciPyAwtVaDs8Q//CKRmhL&#10;RS+p7kUQ7Ij6j1SNlggeqjCR0GRQVVqq1AN1M5u+6WZbC6dSL0SOdxea/P9LKx9Pz8h0SdrNOLOi&#10;IY12qgvsM3SMXMRP63xOsK0jYOjIT9jR78kZ2+4qbOIvNcQoTkyfL+zGbJKc1/Pp7e3HG84kxebX&#10;NzFH9vqpQx++KGhYNAqOJF1iVJwefOihIyRW8mB0udHGxEsMrA2ykyCZ21oHNST/DWVsxFqIX/UJ&#10;e49KczJUid32XUUrdPuuZ2fseA/lmYhA6EfJO7nRVP1B+PAskGaHeqd9CE90VAbagsNgcVYD/vib&#10;P+JJUopy1tIsFtx/PwpUnJmvlsSOgzsaOBr70bDHZg3UN+lHr0kmfYDBjGaF0LzQmqxiFQoJK6lW&#10;wcNorkO/EbRmUq1WCUTj6UR4sFsnY+qR5V33ItANGgWS9hHGKRX5G6l6bBLLrY6BeE86Rl57Fkn/&#10;eKHRTpMwrGHcnV/vCfX6Z7H8CQAA//8DAFBLAwQUAAYACAAAACEALbyDwd8AAAAJAQAADwAAAGRy&#10;cy9kb3ducmV2LnhtbEyPMU/DMBCFdyT+g3VILIg6QBpCiFNVFQywVIQubG58TQLxObKdNvx7jgm2&#10;9+6e3n1XrmY7iCP60DtScLNIQCA1zvTUKti9P1/nIELUZPTgCBV8Y4BVdX5W6sK4E73hsY6t4BIK&#10;hVbQxTgWUoamQ6vDwo1IvDs4b3Vk61tpvD5xuR3kbZJk0uqe+EKnR9x02HzVk1WwTT+23dV0eHpd&#10;p3f+ZTdtss+2VuryYl4/gog4x78w/OIzOlTMtHcTmSAG9nmecpRF+gCCA/fLjMWeB8sEZFXK/x9U&#10;PwAAAP//AwBQSwECLQAUAAYACAAAACEAtoM4kv4AAADhAQAAEwAAAAAAAAAAAAAAAAAAAAAAW0Nv&#10;bnRlbnRfVHlwZXNdLnhtbFBLAQItABQABgAIAAAAIQA4/SH/1gAAAJQBAAALAAAAAAAAAAAAAAAA&#10;AC8BAABfcmVscy8ucmVsc1BLAQItABQABgAIAAAAIQDXvsUxMwIAAHQEAAAOAAAAAAAAAAAAAAAA&#10;AC4CAABkcnMvZTJvRG9jLnhtbFBLAQItABQABgAIAAAAIQAtvIPB3wAAAAkBAAAPAAAAAAAAAAAA&#10;AAAAAI0EAABkcnMvZG93bnJldi54bWxQSwUGAAAAAAQABADzAAAAmQUAAAAA&#10;" stroked="f">
                <v:textbox style="mso-fit-shape-to-text:t" inset="0,0,0,0">
                  <w:txbxContent>
                    <w:p w:rsidR="00635736" w:rsidRPr="00635736" w:rsidRDefault="00635736" w:rsidP="00635736">
                      <w:pPr>
                        <w:pStyle w:val="Caption"/>
                        <w:rPr>
                          <w:rFonts w:asciiTheme="majorBidi" w:hAnsiTheme="majorBidi" w:cstheme="majorBidi"/>
                          <w:b w:val="0"/>
                          <w:bCs w:val="0"/>
                          <w:i/>
                          <w:iCs/>
                          <w:noProof/>
                          <w:color w:val="auto"/>
                          <w:sz w:val="24"/>
                          <w:szCs w:val="24"/>
                          <w:lang w:val="en-US"/>
                        </w:rPr>
                      </w:pPr>
                      <w:r w:rsidRPr="00635736">
                        <w:rPr>
                          <w:rFonts w:asciiTheme="majorBidi" w:hAnsiTheme="majorBidi" w:cstheme="majorBidi"/>
                          <w:b w:val="0"/>
                          <w:bCs w:val="0"/>
                          <w:i/>
                          <w:iCs/>
                          <w:color w:val="auto"/>
                          <w:sz w:val="24"/>
                          <w:szCs w:val="24"/>
                        </w:rPr>
                        <w:t xml:space="preserve">Dokumentasi </w:t>
                      </w:r>
                      <w:r w:rsidRPr="00635736">
                        <w:rPr>
                          <w:rFonts w:asciiTheme="majorBidi" w:hAnsiTheme="majorBidi" w:cstheme="majorBidi"/>
                          <w:b w:val="0"/>
                          <w:bCs w:val="0"/>
                          <w:i/>
                          <w:iCs/>
                          <w:color w:val="auto"/>
                          <w:sz w:val="24"/>
                          <w:szCs w:val="24"/>
                        </w:rPr>
                        <w:fldChar w:fldCharType="begin"/>
                      </w:r>
                      <w:r w:rsidRPr="00635736">
                        <w:rPr>
                          <w:rFonts w:asciiTheme="majorBidi" w:hAnsiTheme="majorBidi" w:cstheme="majorBidi"/>
                          <w:b w:val="0"/>
                          <w:bCs w:val="0"/>
                          <w:i/>
                          <w:iCs/>
                          <w:color w:val="auto"/>
                          <w:sz w:val="24"/>
                          <w:szCs w:val="24"/>
                        </w:rPr>
                        <w:instrText xml:space="preserve"> SEQ Dokumentasi \* ARABIC </w:instrText>
                      </w:r>
                      <w:r w:rsidRPr="00635736">
                        <w:rPr>
                          <w:rFonts w:asciiTheme="majorBidi" w:hAnsiTheme="majorBidi" w:cstheme="majorBidi"/>
                          <w:b w:val="0"/>
                          <w:bCs w:val="0"/>
                          <w:i/>
                          <w:iCs/>
                          <w:color w:val="auto"/>
                          <w:sz w:val="24"/>
                          <w:szCs w:val="24"/>
                        </w:rPr>
                        <w:fldChar w:fldCharType="separate"/>
                      </w:r>
                      <w:r w:rsidRPr="00635736">
                        <w:rPr>
                          <w:rFonts w:asciiTheme="majorBidi" w:hAnsiTheme="majorBidi" w:cstheme="majorBidi"/>
                          <w:b w:val="0"/>
                          <w:bCs w:val="0"/>
                          <w:i/>
                          <w:iCs/>
                          <w:noProof/>
                          <w:color w:val="auto"/>
                          <w:sz w:val="24"/>
                          <w:szCs w:val="24"/>
                        </w:rPr>
                        <w:t>2</w:t>
                      </w:r>
                      <w:r w:rsidRPr="00635736">
                        <w:rPr>
                          <w:rFonts w:asciiTheme="majorBidi" w:hAnsiTheme="majorBidi" w:cstheme="majorBidi"/>
                          <w:b w:val="0"/>
                          <w:bCs w:val="0"/>
                          <w:i/>
                          <w:iCs/>
                          <w:color w:val="auto"/>
                          <w:sz w:val="24"/>
                          <w:szCs w:val="24"/>
                        </w:rPr>
                        <w:fldChar w:fldCharType="end"/>
                      </w:r>
                      <w:r w:rsidRPr="00635736">
                        <w:rPr>
                          <w:rFonts w:asciiTheme="majorBidi" w:hAnsiTheme="majorBidi" w:cstheme="majorBidi"/>
                          <w:b w:val="0"/>
                          <w:bCs w:val="0"/>
                          <w:i/>
                          <w:iCs/>
                          <w:color w:val="auto"/>
                          <w:sz w:val="24"/>
                          <w:szCs w:val="24"/>
                          <w:lang w:val="en-US"/>
                        </w:rPr>
                        <w:t xml:space="preserve"> Penerapan </w:t>
                      </w:r>
                      <w:r w:rsidRPr="00635736">
                        <w:rPr>
                          <w:rFonts w:asciiTheme="majorBidi" w:eastAsia="Times New Roman" w:hAnsiTheme="majorBidi" w:cstheme="majorBidi"/>
                          <w:b w:val="0"/>
                          <w:bCs w:val="0"/>
                          <w:i/>
                          <w:iCs/>
                          <w:color w:val="auto"/>
                          <w:sz w:val="24"/>
                          <w:szCs w:val="24"/>
                          <w:lang w:val="en-US"/>
                        </w:rPr>
                        <w:t>model Inside Outside Circle</w:t>
                      </w:r>
                    </w:p>
                  </w:txbxContent>
                </v:textbox>
              </v:shape>
            </w:pict>
          </mc:Fallback>
        </mc:AlternateContent>
      </w:r>
    </w:p>
    <w:p w:rsidR="000C5C14" w:rsidRDefault="000C5C14" w:rsidP="00CB3A5C">
      <w:pPr>
        <w:tabs>
          <w:tab w:val="left" w:pos="851"/>
        </w:tabs>
        <w:spacing w:after="0" w:line="276" w:lineRule="auto"/>
        <w:ind w:right="-1"/>
        <w:jc w:val="both"/>
        <w:rPr>
          <w:rFonts w:asciiTheme="majorBidi" w:hAnsiTheme="majorBidi" w:cstheme="majorBidi"/>
          <w:sz w:val="24"/>
          <w:szCs w:val="24"/>
          <w:lang w:val="en-US"/>
        </w:rPr>
      </w:pPr>
    </w:p>
    <w:p w:rsidR="00635736" w:rsidRDefault="000C5C14" w:rsidP="00635736">
      <w:pPr>
        <w:tabs>
          <w:tab w:val="left" w:pos="851"/>
        </w:tabs>
        <w:spacing w:after="0" w:line="276" w:lineRule="auto"/>
        <w:ind w:right="-1"/>
        <w:jc w:val="both"/>
        <w:rPr>
          <w:rFonts w:asciiTheme="majorBidi" w:hAnsiTheme="majorBidi" w:cstheme="majorBidi"/>
          <w:sz w:val="24"/>
          <w:szCs w:val="24"/>
          <w:lang w:val="en-US"/>
        </w:rPr>
      </w:pPr>
      <w:r>
        <w:rPr>
          <w:rFonts w:asciiTheme="majorBidi" w:hAnsiTheme="majorBidi" w:cstheme="majorBidi"/>
          <w:sz w:val="24"/>
          <w:szCs w:val="24"/>
          <w:lang w:val="en-US"/>
        </w:rPr>
        <w:tab/>
      </w:r>
      <w:r w:rsidR="00B15691" w:rsidRPr="00B15691">
        <w:rPr>
          <w:rFonts w:asciiTheme="majorBidi" w:hAnsiTheme="majorBidi" w:cstheme="majorBidi"/>
          <w:sz w:val="24"/>
          <w:szCs w:val="24"/>
        </w:rPr>
        <w:t xml:space="preserve">Penerapan model pembelajaran </w:t>
      </w:r>
      <w:r w:rsidR="00B15691" w:rsidRPr="00B15691">
        <w:rPr>
          <w:rStyle w:val="Emphasis"/>
          <w:rFonts w:asciiTheme="majorBidi" w:hAnsiTheme="majorBidi" w:cstheme="majorBidi"/>
          <w:sz w:val="24"/>
          <w:szCs w:val="24"/>
        </w:rPr>
        <w:t>Inside Outside Circle</w:t>
      </w:r>
      <w:r w:rsidR="00B15691" w:rsidRPr="00B15691">
        <w:rPr>
          <w:rFonts w:asciiTheme="majorBidi" w:hAnsiTheme="majorBidi" w:cstheme="majorBidi"/>
          <w:sz w:val="24"/>
          <w:szCs w:val="24"/>
        </w:rPr>
        <w:t xml:space="preserve"> (IOC) yang dikembangkan dengan materi </w:t>
      </w:r>
      <w:r w:rsidR="00B15691" w:rsidRPr="00B15691">
        <w:rPr>
          <w:rStyle w:val="Emphasis"/>
          <w:rFonts w:asciiTheme="majorBidi" w:hAnsiTheme="majorBidi" w:cstheme="majorBidi"/>
          <w:sz w:val="24"/>
          <w:szCs w:val="24"/>
        </w:rPr>
        <w:t>Baina Yadaik</w:t>
      </w:r>
      <w:r w:rsidR="00B15691" w:rsidRPr="00B15691">
        <w:rPr>
          <w:rFonts w:asciiTheme="majorBidi" w:hAnsiTheme="majorBidi" w:cstheme="majorBidi"/>
          <w:sz w:val="24"/>
          <w:szCs w:val="24"/>
        </w:rPr>
        <w:t xml:space="preserve"> bertujuan untuk meningkatkan keterampilan membaca (</w:t>
      </w:r>
      <w:r w:rsidR="00B15691" w:rsidRPr="00B15691">
        <w:rPr>
          <w:rStyle w:val="Emphasis"/>
          <w:rFonts w:asciiTheme="majorBidi" w:hAnsiTheme="majorBidi" w:cstheme="majorBidi"/>
          <w:sz w:val="24"/>
          <w:szCs w:val="24"/>
        </w:rPr>
        <w:t>maharah qirā’ah</w:t>
      </w:r>
      <w:r w:rsidR="00B15691" w:rsidRPr="00B15691">
        <w:rPr>
          <w:rFonts w:asciiTheme="majorBidi" w:hAnsiTheme="majorBidi" w:cstheme="majorBidi"/>
          <w:sz w:val="24"/>
          <w:szCs w:val="24"/>
        </w:rPr>
        <w:t>) siswa dalam bahasa Arab. Hasil post-test menunjukkan adanya peningkatan yang signifikan dalam kemampuan membaca siswa setelah menggunakan bahan ajar ini.</w:t>
      </w:r>
    </w:p>
    <w:p w:rsidR="00635736" w:rsidRPr="00635736" w:rsidRDefault="00635736" w:rsidP="00CB3A5C">
      <w:pPr>
        <w:tabs>
          <w:tab w:val="left" w:pos="851"/>
        </w:tabs>
        <w:spacing w:after="0" w:line="276" w:lineRule="auto"/>
        <w:ind w:right="-1"/>
        <w:jc w:val="both"/>
        <w:rPr>
          <w:rFonts w:asciiTheme="majorBidi" w:hAnsiTheme="majorBidi" w:cstheme="majorBidi"/>
          <w:b/>
          <w:bCs/>
          <w:sz w:val="24"/>
          <w:szCs w:val="24"/>
          <w:lang w:val="en-US"/>
        </w:rPr>
      </w:pPr>
    </w:p>
    <w:p w:rsidR="00B15691" w:rsidRPr="00B15691" w:rsidRDefault="00B15691" w:rsidP="00B15691">
      <w:pPr>
        <w:tabs>
          <w:tab w:val="left" w:pos="851"/>
        </w:tabs>
        <w:spacing w:after="0" w:line="276" w:lineRule="auto"/>
        <w:ind w:right="-1"/>
        <w:jc w:val="center"/>
        <w:rPr>
          <w:rFonts w:asciiTheme="majorBidi" w:hAnsiTheme="majorBidi" w:cstheme="majorBidi"/>
          <w:b/>
          <w:bCs/>
          <w:sz w:val="24"/>
          <w:szCs w:val="24"/>
          <w:lang w:val="en-US"/>
        </w:rPr>
      </w:pPr>
      <w:r w:rsidRPr="00B15691">
        <w:rPr>
          <w:rFonts w:asciiTheme="majorBidi" w:hAnsiTheme="majorBidi" w:cstheme="majorBidi"/>
          <w:b/>
          <w:bCs/>
          <w:sz w:val="24"/>
          <w:szCs w:val="24"/>
          <w:lang w:val="en-US"/>
        </w:rPr>
        <w:t>Tabel 1</w:t>
      </w:r>
    </w:p>
    <w:p w:rsidR="00FF380F" w:rsidRPr="00B15691" w:rsidRDefault="00B15691" w:rsidP="00B15691">
      <w:pPr>
        <w:tabs>
          <w:tab w:val="left" w:pos="851"/>
        </w:tabs>
        <w:spacing w:after="0" w:line="276" w:lineRule="auto"/>
        <w:ind w:right="-1"/>
        <w:jc w:val="both"/>
        <w:rPr>
          <w:rFonts w:asciiTheme="majorBidi" w:hAnsiTheme="majorBidi" w:cstheme="majorBidi"/>
          <w:sz w:val="24"/>
          <w:szCs w:val="24"/>
          <w:lang w:val="en-US"/>
        </w:rPr>
      </w:pPr>
      <w:r w:rsidRPr="00B15691">
        <w:rPr>
          <w:rFonts w:asciiTheme="majorBidi" w:hAnsiTheme="majorBidi" w:cstheme="majorBidi"/>
          <w:sz w:val="24"/>
          <w:szCs w:val="24"/>
          <w:lang w:val="en-US"/>
        </w:rPr>
        <w:t>Skor Post-Test Siswa Setelah Pembelajaran dengan Model IOC</w:t>
      </w:r>
    </w:p>
    <w:tbl>
      <w:tblPr>
        <w:tblStyle w:val="TableGrid"/>
        <w:tblW w:w="7633" w:type="dxa"/>
        <w:tblInd w:w="697" w:type="dxa"/>
        <w:tblLook w:val="04A0" w:firstRow="1" w:lastRow="0" w:firstColumn="1" w:lastColumn="0" w:noHBand="0" w:noVBand="1"/>
      </w:tblPr>
      <w:tblGrid>
        <w:gridCol w:w="534"/>
        <w:gridCol w:w="2705"/>
        <w:gridCol w:w="1134"/>
        <w:gridCol w:w="1417"/>
        <w:gridCol w:w="1843"/>
      </w:tblGrid>
      <w:tr w:rsidR="00FF380F" w:rsidTr="00FF380F">
        <w:trPr>
          <w:trHeight w:val="385"/>
        </w:trPr>
        <w:tc>
          <w:tcPr>
            <w:tcW w:w="534" w:type="dxa"/>
          </w:tcPr>
          <w:p w:rsidR="00FF380F" w:rsidRPr="00465F34"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465F34">
              <w:rPr>
                <w:rStyle w:val="Emphasis"/>
                <w:rFonts w:asciiTheme="majorBidi" w:hAnsiTheme="majorBidi" w:cstheme="majorBidi"/>
                <w:b/>
                <w:bCs/>
                <w:sz w:val="24"/>
                <w:szCs w:val="24"/>
              </w:rPr>
              <w:t xml:space="preserve">No </w:t>
            </w:r>
          </w:p>
        </w:tc>
        <w:tc>
          <w:tcPr>
            <w:tcW w:w="2705" w:type="dxa"/>
          </w:tcPr>
          <w:p w:rsidR="00FF380F" w:rsidRPr="00465F34"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465F34">
              <w:rPr>
                <w:rStyle w:val="Emphasis"/>
                <w:rFonts w:asciiTheme="majorBidi" w:hAnsiTheme="majorBidi" w:cstheme="majorBidi"/>
                <w:b/>
                <w:bCs/>
                <w:sz w:val="24"/>
                <w:szCs w:val="24"/>
              </w:rPr>
              <w:t xml:space="preserve">Nama </w:t>
            </w:r>
          </w:p>
        </w:tc>
        <w:tc>
          <w:tcPr>
            <w:tcW w:w="1134" w:type="dxa"/>
          </w:tcPr>
          <w:p w:rsidR="00FF380F" w:rsidRPr="00465F34"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465F34">
              <w:rPr>
                <w:rStyle w:val="Emphasis"/>
                <w:rFonts w:asciiTheme="majorBidi" w:hAnsiTheme="majorBidi" w:cstheme="majorBidi"/>
                <w:b/>
                <w:bCs/>
                <w:sz w:val="24"/>
                <w:szCs w:val="24"/>
              </w:rPr>
              <w:t>Pre test</w:t>
            </w:r>
          </w:p>
        </w:tc>
        <w:tc>
          <w:tcPr>
            <w:tcW w:w="1417" w:type="dxa"/>
          </w:tcPr>
          <w:p w:rsidR="00FF380F" w:rsidRPr="00465F34"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465F34">
              <w:rPr>
                <w:rStyle w:val="Emphasis"/>
                <w:rFonts w:asciiTheme="majorBidi" w:hAnsiTheme="majorBidi" w:cstheme="majorBidi"/>
                <w:b/>
                <w:bCs/>
                <w:sz w:val="24"/>
                <w:szCs w:val="24"/>
              </w:rPr>
              <w:t>Post test</w:t>
            </w:r>
          </w:p>
        </w:tc>
        <w:tc>
          <w:tcPr>
            <w:tcW w:w="1843" w:type="dxa"/>
          </w:tcPr>
          <w:p w:rsidR="00FF380F" w:rsidRPr="00465F34" w:rsidRDefault="00FF380F" w:rsidP="00FF380F">
            <w:pPr>
              <w:pStyle w:val="ListParagraph"/>
              <w:spacing w:line="360" w:lineRule="auto"/>
              <w:ind w:left="0"/>
              <w:jc w:val="center"/>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Keterangan</w:t>
            </w:r>
          </w:p>
        </w:tc>
      </w:tr>
      <w:tr w:rsidR="00FF380F" w:rsidTr="00FF380F">
        <w:trPr>
          <w:trHeight w:val="376"/>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Afifah salsabila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Alif albukhari</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76"/>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Apririyan S</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76"/>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Afwan farza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5</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Bima saputra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100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76"/>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6</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Kaisar riski</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50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7</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 xml:space="preserve">M. juanda </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 xml:space="preserve">M. saad </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70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 xml:space="preserve">Rabani </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70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10</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Rafif aufa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11</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Rangga judan</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12</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Rosi pranata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13</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Siti ramadani</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100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lastRenderedPageBreak/>
              <w:t>14</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Sultan jawara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15</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 xml:space="preserve">Talisa </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16</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Tio arasy</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50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100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17</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Mawar indrayani</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18</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Ahmad fadil</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19</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Kelvin saputra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40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80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5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2705" w:type="dxa"/>
          </w:tcPr>
          <w:p w:rsidR="00FF380F" w:rsidRDefault="00FF380F" w:rsidP="003E36C1">
            <w:pPr>
              <w:pStyle w:val="ListParagraph"/>
              <w:spacing w:line="360" w:lineRule="auto"/>
              <w:ind w:left="0"/>
              <w:rPr>
                <w:rStyle w:val="Emphasis"/>
                <w:rFonts w:asciiTheme="majorBidi" w:hAnsiTheme="majorBidi" w:cstheme="majorBidi"/>
                <w:i w:val="0"/>
                <w:iCs w:val="0"/>
                <w:sz w:val="24"/>
                <w:szCs w:val="24"/>
              </w:rPr>
            </w:pPr>
            <w:r>
              <w:rPr>
                <w:rStyle w:val="Emphasis"/>
                <w:rFonts w:asciiTheme="majorBidi" w:hAnsiTheme="majorBidi" w:cstheme="majorBidi"/>
                <w:sz w:val="24"/>
                <w:szCs w:val="24"/>
              </w:rPr>
              <w:t>Deah suci E</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20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90</w:t>
            </w:r>
          </w:p>
        </w:tc>
        <w:tc>
          <w:tcPr>
            <w:tcW w:w="1843" w:type="dxa"/>
          </w:tcPr>
          <w:p w:rsidR="00FF380F" w:rsidRDefault="00FF380F" w:rsidP="00FF380F">
            <w:pPr>
              <w:jc w:val="center"/>
            </w:pPr>
            <w:r w:rsidRPr="007D3ACC">
              <w:rPr>
                <w:rStyle w:val="Emphasis"/>
                <w:rFonts w:asciiTheme="majorBidi" w:hAnsiTheme="majorBidi" w:cstheme="majorBidi"/>
                <w:i w:val="0"/>
                <w:iCs w:val="0"/>
                <w:sz w:val="24"/>
                <w:szCs w:val="24"/>
              </w:rPr>
              <w:t>Lulus</w:t>
            </w:r>
          </w:p>
        </w:tc>
      </w:tr>
      <w:tr w:rsidR="00FF380F" w:rsidTr="00FF380F">
        <w:trPr>
          <w:trHeight w:val="385"/>
        </w:trPr>
        <w:tc>
          <w:tcPr>
            <w:tcW w:w="3239" w:type="dxa"/>
            <w:gridSpan w:val="2"/>
          </w:tcPr>
          <w:p w:rsidR="00FF380F" w:rsidRPr="00E54C30"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E54C30">
              <w:rPr>
                <w:rStyle w:val="Emphasis"/>
                <w:rFonts w:asciiTheme="majorBidi" w:hAnsiTheme="majorBidi" w:cstheme="majorBidi"/>
                <w:b/>
                <w:bCs/>
                <w:sz w:val="24"/>
                <w:szCs w:val="24"/>
              </w:rPr>
              <w:t xml:space="preserve">Total </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690</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1750</w:t>
            </w:r>
          </w:p>
        </w:tc>
        <w:tc>
          <w:tcPr>
            <w:tcW w:w="1843" w:type="dxa"/>
          </w:tcPr>
          <w:p w:rsidR="00FF380F" w:rsidRDefault="00FF380F" w:rsidP="00FF380F">
            <w:pPr>
              <w:pStyle w:val="ListParagraph"/>
              <w:spacing w:line="360" w:lineRule="auto"/>
              <w:ind w:left="0"/>
              <w:jc w:val="center"/>
              <w:rPr>
                <w:rStyle w:val="Emphasis"/>
                <w:rFonts w:asciiTheme="majorBidi" w:hAnsiTheme="majorBidi" w:cstheme="majorBidi"/>
                <w:i w:val="0"/>
                <w:iCs w:val="0"/>
                <w:sz w:val="24"/>
                <w:szCs w:val="24"/>
              </w:rPr>
            </w:pPr>
          </w:p>
        </w:tc>
      </w:tr>
      <w:tr w:rsidR="00FF380F" w:rsidTr="00FF380F">
        <w:trPr>
          <w:trHeight w:val="385"/>
        </w:trPr>
        <w:tc>
          <w:tcPr>
            <w:tcW w:w="3239" w:type="dxa"/>
            <w:gridSpan w:val="2"/>
          </w:tcPr>
          <w:p w:rsidR="00FF380F" w:rsidRPr="00E54C30" w:rsidRDefault="00FF380F" w:rsidP="003E36C1">
            <w:pPr>
              <w:pStyle w:val="ListParagraph"/>
              <w:spacing w:line="360" w:lineRule="auto"/>
              <w:ind w:left="0"/>
              <w:jc w:val="center"/>
              <w:rPr>
                <w:rStyle w:val="Emphasis"/>
                <w:rFonts w:asciiTheme="majorBidi" w:hAnsiTheme="majorBidi" w:cstheme="majorBidi"/>
                <w:b/>
                <w:bCs/>
                <w:i w:val="0"/>
                <w:iCs w:val="0"/>
                <w:sz w:val="24"/>
                <w:szCs w:val="24"/>
              </w:rPr>
            </w:pPr>
            <w:r w:rsidRPr="00E54C30">
              <w:rPr>
                <w:rStyle w:val="Emphasis"/>
                <w:rFonts w:asciiTheme="majorBidi" w:hAnsiTheme="majorBidi" w:cstheme="majorBidi"/>
                <w:b/>
                <w:bCs/>
                <w:sz w:val="24"/>
                <w:szCs w:val="24"/>
              </w:rPr>
              <w:t>Rata - rata</w:t>
            </w:r>
          </w:p>
        </w:tc>
        <w:tc>
          <w:tcPr>
            <w:tcW w:w="1134"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34,5</w:t>
            </w:r>
          </w:p>
        </w:tc>
        <w:tc>
          <w:tcPr>
            <w:tcW w:w="1417" w:type="dxa"/>
          </w:tcPr>
          <w:p w:rsidR="00FF380F" w:rsidRDefault="00FF380F" w:rsidP="003E36C1">
            <w:pPr>
              <w:pStyle w:val="ListParagraph"/>
              <w:spacing w:line="360" w:lineRule="auto"/>
              <w:ind w:left="0"/>
              <w:jc w:val="center"/>
              <w:rPr>
                <w:rStyle w:val="Emphasis"/>
                <w:rFonts w:asciiTheme="majorBidi" w:hAnsiTheme="majorBidi" w:cstheme="majorBidi"/>
                <w:i w:val="0"/>
                <w:iCs w:val="0"/>
                <w:sz w:val="24"/>
                <w:szCs w:val="24"/>
              </w:rPr>
            </w:pPr>
            <w:r>
              <w:rPr>
                <w:rStyle w:val="Emphasis"/>
                <w:rFonts w:asciiTheme="majorBidi" w:hAnsiTheme="majorBidi" w:cstheme="majorBidi"/>
                <w:sz w:val="24"/>
                <w:szCs w:val="24"/>
              </w:rPr>
              <w:t xml:space="preserve">87,5 </w:t>
            </w:r>
          </w:p>
        </w:tc>
        <w:tc>
          <w:tcPr>
            <w:tcW w:w="1843" w:type="dxa"/>
          </w:tcPr>
          <w:p w:rsidR="00FF380F" w:rsidRDefault="00FF380F" w:rsidP="00FF380F">
            <w:pPr>
              <w:pStyle w:val="ListParagraph"/>
              <w:spacing w:line="360" w:lineRule="auto"/>
              <w:ind w:left="0"/>
              <w:jc w:val="center"/>
              <w:rPr>
                <w:rStyle w:val="Emphasis"/>
                <w:rFonts w:asciiTheme="majorBidi" w:hAnsiTheme="majorBidi" w:cstheme="majorBidi"/>
                <w:i w:val="0"/>
                <w:iCs w:val="0"/>
                <w:sz w:val="24"/>
                <w:szCs w:val="24"/>
              </w:rPr>
            </w:pPr>
          </w:p>
        </w:tc>
      </w:tr>
    </w:tbl>
    <w:p w:rsidR="00400FF6" w:rsidRDefault="00400FF6" w:rsidP="00B15691">
      <w:pPr>
        <w:spacing w:after="0" w:line="276" w:lineRule="auto"/>
        <w:ind w:right="-1"/>
        <w:jc w:val="both"/>
        <w:rPr>
          <w:rFonts w:asciiTheme="majorBidi" w:hAnsiTheme="majorBidi" w:cstheme="majorBidi"/>
          <w:b/>
          <w:bCs/>
          <w:sz w:val="32"/>
          <w:szCs w:val="32"/>
          <w:lang w:val="en-US"/>
        </w:rPr>
      </w:pPr>
    </w:p>
    <w:p w:rsidR="00B15691" w:rsidRPr="00B15691" w:rsidRDefault="00B15691" w:rsidP="00B15691">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B15691">
        <w:rPr>
          <w:rFonts w:ascii="Times New Roman" w:eastAsia="Times New Roman" w:hAnsi="Times New Roman" w:cs="Times New Roman"/>
          <w:sz w:val="24"/>
          <w:szCs w:val="24"/>
          <w:lang w:val="en-US"/>
        </w:rPr>
        <w:t xml:space="preserve">Hasil ini menunjukkan bahwa sebagian besar siswa memperoleh skor di atas Kriteria Ketuntasan Minimal (KKM), yang menandakan bahwa penggunaan model IOC dan materi </w:t>
      </w:r>
      <w:r w:rsidRPr="00B15691">
        <w:rPr>
          <w:rFonts w:ascii="Times New Roman" w:eastAsia="Times New Roman" w:hAnsi="Times New Roman" w:cs="Times New Roman"/>
          <w:i/>
          <w:iCs/>
          <w:sz w:val="24"/>
          <w:szCs w:val="24"/>
          <w:lang w:val="en-US"/>
        </w:rPr>
        <w:t>Baina Yadaik</w:t>
      </w:r>
      <w:r w:rsidRPr="00B15691">
        <w:rPr>
          <w:rFonts w:ascii="Times New Roman" w:eastAsia="Times New Roman" w:hAnsi="Times New Roman" w:cs="Times New Roman"/>
          <w:sz w:val="24"/>
          <w:szCs w:val="24"/>
          <w:lang w:val="en-US"/>
        </w:rPr>
        <w:t xml:space="preserve"> efektif dalam meningkatkan keterampilan membaca. Jika dibandingkan dengan skor pre-test, terdapat peningkatan yang mencolok dalam kelancaran membaca, pemahaman teks, serta penguasaan kosakata.</w:t>
      </w:r>
    </w:p>
    <w:p w:rsidR="00B15691" w:rsidRPr="00B15691" w:rsidRDefault="00B15691" w:rsidP="00B15691">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B15691">
        <w:rPr>
          <w:rFonts w:ascii="Times New Roman" w:eastAsia="Times New Roman" w:hAnsi="Times New Roman" w:cs="Times New Roman"/>
          <w:sz w:val="24"/>
          <w:szCs w:val="24"/>
          <w:lang w:val="en-US"/>
        </w:rPr>
        <w:t xml:space="preserve">Temuan ini sejalan dengan penelitian Wahyuliani (2016) yang menyatakan bahwa interaksi antar siswa yang aktif dan terstruktur dapat meningkatkan keterlibatan dan daya serap peserta didik. Selain itu, elemen visual dan kontekstual dalam buku </w:t>
      </w:r>
      <w:r w:rsidRPr="00B15691">
        <w:rPr>
          <w:rFonts w:ascii="Times New Roman" w:eastAsia="Times New Roman" w:hAnsi="Times New Roman" w:cs="Times New Roman"/>
          <w:i/>
          <w:iCs/>
          <w:sz w:val="24"/>
          <w:szCs w:val="24"/>
          <w:lang w:val="en-US"/>
        </w:rPr>
        <w:t>Baina Yadaik</w:t>
      </w:r>
      <w:r w:rsidRPr="00B15691">
        <w:rPr>
          <w:rFonts w:ascii="Times New Roman" w:eastAsia="Times New Roman" w:hAnsi="Times New Roman" w:cs="Times New Roman"/>
          <w:sz w:val="24"/>
          <w:szCs w:val="24"/>
          <w:lang w:val="en-US"/>
        </w:rPr>
        <w:t xml:space="preserve"> mendukung teori beban kognitif (Sweller, 1998), yang membantu siswa memahami teks Arab secara lebih efisien.</w:t>
      </w:r>
    </w:p>
    <w:p w:rsidR="00B15691" w:rsidRPr="00B15691" w:rsidRDefault="00B15691" w:rsidP="00B15691">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B15691">
        <w:rPr>
          <w:rFonts w:ascii="Times New Roman" w:eastAsia="Times New Roman" w:hAnsi="Times New Roman" w:cs="Times New Roman"/>
          <w:sz w:val="24"/>
          <w:szCs w:val="24"/>
          <w:lang w:val="en-US"/>
        </w:rPr>
        <w:t>Namun, hasil ini berbeda dengan temuan Nurani (2022) yang menemukan bahwa metode konvensional masih mendominasi pembelajaran membaca dan menyebabkan rendahnya motivasi belajar siswa. Penerapan model IOC menciptakan suasana kelas yang dinamis, mendorong kolaborasi dan paparan teks yang berulang, sehingga meningkatkan rasa percaya diri siswa dalam memahami teks bahasa Arab.</w:t>
      </w:r>
    </w:p>
    <w:p w:rsidR="00B15691" w:rsidRPr="00B15691" w:rsidRDefault="00B15691" w:rsidP="00B15691">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B15691">
        <w:rPr>
          <w:rFonts w:ascii="Times New Roman" w:eastAsia="Times New Roman" w:hAnsi="Times New Roman" w:cs="Times New Roman"/>
          <w:sz w:val="24"/>
          <w:szCs w:val="24"/>
          <w:lang w:val="en-US"/>
        </w:rPr>
        <w:t xml:space="preserve">Dari sisi </w:t>
      </w:r>
      <w:r w:rsidRPr="00B15691">
        <w:rPr>
          <w:rFonts w:ascii="Times New Roman" w:eastAsia="Times New Roman" w:hAnsi="Times New Roman" w:cs="Times New Roman"/>
          <w:b/>
          <w:bCs/>
          <w:sz w:val="24"/>
          <w:szCs w:val="24"/>
          <w:lang w:val="en-US"/>
        </w:rPr>
        <w:t>teoretis</w:t>
      </w:r>
      <w:r w:rsidRPr="00B15691">
        <w:rPr>
          <w:rFonts w:ascii="Times New Roman" w:eastAsia="Times New Roman" w:hAnsi="Times New Roman" w:cs="Times New Roman"/>
          <w:sz w:val="24"/>
          <w:szCs w:val="24"/>
          <w:lang w:val="en-US"/>
        </w:rPr>
        <w:t xml:space="preserve">, temuan ini mendukung teori konstruktivisme sosial Vygotsky, khususnya pentingnya interaksi sosial dalam pemerolehan bahasa. Dari sisi </w:t>
      </w:r>
      <w:r w:rsidRPr="00B15691">
        <w:rPr>
          <w:rFonts w:ascii="Times New Roman" w:eastAsia="Times New Roman" w:hAnsi="Times New Roman" w:cs="Times New Roman"/>
          <w:b/>
          <w:bCs/>
          <w:sz w:val="24"/>
          <w:szCs w:val="24"/>
          <w:lang w:val="en-US"/>
        </w:rPr>
        <w:t>praktis</w:t>
      </w:r>
      <w:r w:rsidRPr="00B15691">
        <w:rPr>
          <w:rFonts w:ascii="Times New Roman" w:eastAsia="Times New Roman" w:hAnsi="Times New Roman" w:cs="Times New Roman"/>
          <w:sz w:val="24"/>
          <w:szCs w:val="24"/>
          <w:lang w:val="en-US"/>
        </w:rPr>
        <w:t xml:space="preserve">, hasil ini memberikan rekomendasi kepada guru bahasa Arab untuk mengintegrasikan strategi pembelajaran kolaboratif dengan bahan ajar kontekstual seperti </w:t>
      </w:r>
      <w:r w:rsidRPr="00B15691">
        <w:rPr>
          <w:rFonts w:ascii="Times New Roman" w:eastAsia="Times New Roman" w:hAnsi="Times New Roman" w:cs="Times New Roman"/>
          <w:i/>
          <w:iCs/>
          <w:sz w:val="24"/>
          <w:szCs w:val="24"/>
          <w:lang w:val="en-US"/>
        </w:rPr>
        <w:t>Baina Yadaik</w:t>
      </w:r>
      <w:r w:rsidRPr="00B15691">
        <w:rPr>
          <w:rFonts w:ascii="Times New Roman" w:eastAsia="Times New Roman" w:hAnsi="Times New Roman" w:cs="Times New Roman"/>
          <w:sz w:val="24"/>
          <w:szCs w:val="24"/>
          <w:lang w:val="en-US"/>
        </w:rPr>
        <w:t xml:space="preserve"> demi meningkatkan hasil belajar siswa.</w:t>
      </w:r>
    </w:p>
    <w:p w:rsidR="00B15691" w:rsidRPr="00B15691" w:rsidRDefault="00B15691" w:rsidP="00B15691">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B15691">
        <w:rPr>
          <w:rFonts w:ascii="Times New Roman" w:eastAsia="Times New Roman" w:hAnsi="Times New Roman" w:cs="Times New Roman"/>
          <w:sz w:val="24"/>
          <w:szCs w:val="24"/>
          <w:lang w:val="en-US"/>
        </w:rPr>
        <w:t xml:space="preserve">Hasil penelitian ini juga memberi implikasi bagi pengembang kurikulum di lembaga pendidikan Islam. Dengan menyelaraskan strategi pengajaran yang berpusat pada siswa dan menggunakan materi otentik, kualitas pembelajaran </w:t>
      </w:r>
      <w:r w:rsidRPr="00B15691">
        <w:rPr>
          <w:rFonts w:ascii="Times New Roman" w:eastAsia="Times New Roman" w:hAnsi="Times New Roman" w:cs="Times New Roman"/>
          <w:i/>
          <w:iCs/>
          <w:sz w:val="24"/>
          <w:szCs w:val="24"/>
          <w:lang w:val="en-US"/>
        </w:rPr>
        <w:t>maharah qirā’ah</w:t>
      </w:r>
      <w:r w:rsidRPr="00B15691">
        <w:rPr>
          <w:rFonts w:ascii="Times New Roman" w:eastAsia="Times New Roman" w:hAnsi="Times New Roman" w:cs="Times New Roman"/>
          <w:sz w:val="24"/>
          <w:szCs w:val="24"/>
          <w:lang w:val="en-US"/>
        </w:rPr>
        <w:t xml:space="preserve"> dapat ditingkatkan secara signifikan.</w:t>
      </w:r>
    </w:p>
    <w:p w:rsidR="00B15691" w:rsidRPr="00782A0F" w:rsidRDefault="00B15691" w:rsidP="00CB3A5C">
      <w:pPr>
        <w:spacing w:after="0" w:line="276" w:lineRule="auto"/>
        <w:ind w:right="-1" w:firstLine="851"/>
        <w:jc w:val="both"/>
        <w:rPr>
          <w:rFonts w:asciiTheme="majorBidi" w:hAnsiTheme="majorBidi" w:cstheme="majorBidi"/>
          <w:b/>
          <w:bCs/>
          <w:sz w:val="32"/>
          <w:szCs w:val="32"/>
          <w:lang w:val="en-US"/>
        </w:rPr>
      </w:pPr>
    </w:p>
    <w:p w:rsidR="00400FF6" w:rsidRPr="00C6191F" w:rsidRDefault="006D5346" w:rsidP="006D5346">
      <w:pPr>
        <w:spacing w:after="0" w:line="276" w:lineRule="auto"/>
        <w:jc w:val="both"/>
        <w:rPr>
          <w:rFonts w:ascii="Palatino Linotype" w:hAnsi="Palatino Linotype"/>
          <w:sz w:val="32"/>
          <w:szCs w:val="32"/>
          <w:rtl/>
        </w:rPr>
      </w:pPr>
      <w:r>
        <w:rPr>
          <w:rFonts w:asciiTheme="majorBidi" w:hAnsiTheme="majorBidi" w:cstheme="majorBidi"/>
          <w:b/>
          <w:bCs/>
          <w:sz w:val="24"/>
          <w:szCs w:val="24"/>
          <w:lang w:val="en-US"/>
        </w:rPr>
        <w:t>Kesimpulan</w:t>
      </w:r>
    </w:p>
    <w:p w:rsidR="00795EEE" w:rsidRDefault="00795EEE" w:rsidP="00795EEE">
      <w:pPr>
        <w:pStyle w:val="NormalWeb"/>
        <w:ind w:firstLine="720"/>
        <w:jc w:val="both"/>
      </w:pPr>
      <w:r>
        <w:lastRenderedPageBreak/>
        <w:t xml:space="preserve">Penelitian ini berhasil mengembangkan bahan ajar qirā’ah berbasis kitab </w:t>
      </w:r>
      <w:r>
        <w:rPr>
          <w:rStyle w:val="Emphasis"/>
        </w:rPr>
        <w:t>Baina Yadaik</w:t>
      </w:r>
      <w:r>
        <w:t xml:space="preserve"> yang dipadukan dengan model pembelajaran Inside Outside Circle (IOC), yang terbukti efektif dalam meningkatkan kemampuan membaca siswa di MTs Ittihadul Ulum Lubuklinggau. Hasil penelitian menunjukkan adanya peningkatan yang signifikan pada kemampuan membaca siswa setelah penerapan model pembelajaran ini, yang tercermin pada skor post-test yang lebih tinggi dibandingkan dengan pre-test. Penerapan model IOC mendorong interaksi aktif antar siswa, memperkuat pemahaman terhadap teks, serta meningkatkan kemampuan berpikir kritis dan kolaboratif.</w:t>
      </w:r>
    </w:p>
    <w:p w:rsidR="00795EEE" w:rsidRDefault="00795EEE" w:rsidP="00795EEE">
      <w:pPr>
        <w:pStyle w:val="NormalWeb"/>
        <w:ind w:firstLine="720"/>
        <w:jc w:val="both"/>
      </w:pPr>
      <w:r>
        <w:t>Kontribusi ilmiah dari penelitian ini terletak pada pengintegrasian model pembelajaran kooperatif dengan bahan ajar berbasis teks otentik, yang selama ini jarang diterapkan dalam pembelajaran qirā’ah bahasa Arab. Pendekatan ini tidak hanya efektif dalam meningkatkan keterampilan membaca siswa, tetapi juga memberikan solusi terhadap masalah kurangnya inovasi dalam metode dan media pembelajaran yang diterapkan di banyak madrasah. Oleh karena itu, bahan ajar yang dikembangkan dalam penelitian ini dapat menjadi referensi bagi madrasah dan lembaga pendidikan lain dalam meningkatkan pembelajaran qirā’ah.</w:t>
      </w:r>
    </w:p>
    <w:p w:rsidR="00795EEE" w:rsidRDefault="00795EEE" w:rsidP="00795EEE">
      <w:pPr>
        <w:pStyle w:val="NormalWeb"/>
        <w:ind w:firstLine="720"/>
        <w:jc w:val="both"/>
      </w:pPr>
      <w:r>
        <w:t>Penelitian ini juga membuka ruang untuk penelitian lanjutan yang dapat menguji penerapan model ini di kelas atau jenjang pendidikan lain, serta mengevaluasi dampaknya terhadap keterampilan berbahasa Arab lainnya, seperti istimā’ dan kitabah. Selain itu, penelitian berikutnya dapat mengkaji dampak penggunaan bahan ajar ini terhadap motivasi belajar dan aspek afektif siswa, yang merupakan faktor penting dalam pembelajaran bahasa.</w:t>
      </w:r>
    </w:p>
    <w:p w:rsidR="009C1C4F" w:rsidRPr="009C1C4F" w:rsidRDefault="009C1C4F" w:rsidP="00CB3A5C">
      <w:pPr>
        <w:spacing w:after="0" w:line="276" w:lineRule="auto"/>
        <w:jc w:val="both"/>
        <w:rPr>
          <w:rFonts w:asciiTheme="majorBidi" w:hAnsiTheme="majorBidi" w:cstheme="majorBidi"/>
          <w:sz w:val="32"/>
          <w:szCs w:val="32"/>
          <w:lang w:val="en-US"/>
        </w:rPr>
      </w:pPr>
    </w:p>
    <w:p w:rsidR="00400FF6" w:rsidRPr="006D5346" w:rsidRDefault="006D5346" w:rsidP="006D5346">
      <w:pPr>
        <w:spacing w:after="0" w:line="276" w:lineRule="auto"/>
        <w:jc w:val="both"/>
        <w:rPr>
          <w:rFonts w:ascii="Palatino Linotype" w:hAnsi="Palatino Linotype"/>
          <w:sz w:val="32"/>
          <w:szCs w:val="32"/>
          <w:rtl/>
          <w:lang w:val="en-US"/>
        </w:rPr>
      </w:pPr>
      <w:r>
        <w:rPr>
          <w:rFonts w:asciiTheme="majorBidi" w:hAnsiTheme="majorBidi" w:cstheme="majorBidi"/>
          <w:b/>
          <w:bCs/>
          <w:sz w:val="24"/>
          <w:szCs w:val="24"/>
        </w:rPr>
        <w:t>Referensi</w:t>
      </w:r>
    </w:p>
    <w:p w:rsidR="00635736" w:rsidRPr="00635736" w:rsidRDefault="0043467A" w:rsidP="00635736">
      <w:pPr>
        <w:pStyle w:val="Bibliography"/>
        <w:rPr>
          <w:rFonts w:ascii="Times New Roman" w:hAnsi="Times New Roman" w:cs="Times New Roman"/>
          <w:sz w:val="24"/>
        </w:rPr>
      </w:pPr>
      <w:r>
        <w:rPr>
          <w:rFonts w:asciiTheme="majorBidi" w:hAnsiTheme="majorBidi" w:cstheme="majorBidi"/>
          <w:lang w:val="en-US"/>
        </w:rPr>
        <w:fldChar w:fldCharType="begin"/>
      </w:r>
      <w:r>
        <w:rPr>
          <w:rFonts w:asciiTheme="majorBidi" w:hAnsiTheme="majorBidi" w:cstheme="majorBidi"/>
          <w:lang w:val="en-US"/>
        </w:rPr>
        <w:instrText xml:space="preserve"> ADDIN ZOTERO_BIBL {"uncited":[],"omitted":[],"custom":[]} CSL_BIBLIOGRAPHY </w:instrText>
      </w:r>
      <w:r>
        <w:rPr>
          <w:rFonts w:asciiTheme="majorBidi" w:hAnsiTheme="majorBidi" w:cstheme="majorBidi"/>
          <w:lang w:val="en-US"/>
        </w:rPr>
        <w:fldChar w:fldCharType="separate"/>
      </w:r>
      <w:r w:rsidR="00635736" w:rsidRPr="00635736">
        <w:rPr>
          <w:rFonts w:ascii="Times New Roman" w:hAnsi="Times New Roman" w:cs="Times New Roman"/>
          <w:sz w:val="24"/>
        </w:rPr>
        <w:t>Atthohiro, Nyayu Nadida Adlina, and Kemas Muhammad, ‘Pengembangan Media Pembelajaran Maharah Qiro’ah Berbasis Edutainment Dengan Bantuan Website Socrative’</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Bathothiy, Farid Al, Bambang Prasetyo, and Muhammad Andre Syahputra, ‘</w:t>
      </w:r>
      <w:dir w:val="rtl">
        <w:r w:rsidRPr="00635736">
          <w:rPr>
            <w:rFonts w:ascii="Times New Roman" w:hAnsi="Times New Roman" w:cs="Times New Roman"/>
            <w:sz w:val="24"/>
            <w:rtl/>
          </w:rPr>
          <w:t>تعليم اللغة العربية باستخدام كتاب تعليم اللغة العربية لغير الناطقين بها</w:t>
        </w:r>
        <w:r w:rsidRPr="00635736">
          <w:rPr>
            <w:rFonts w:ascii="Times New Roman" w:hAnsi="Times New Roman" w:cs="Times New Roman"/>
            <w:sz w:val="24"/>
            <w:rtl/>
          </w:rPr>
          <w:t>‬’, 1</w:t>
        </w:r>
        <w:r w:rsidRPr="00635736">
          <w:rPr>
            <w:rFonts w:ascii="Times New Roman" w:hAnsi="Times New Roman" w:cs="Times New Roman"/>
            <w:sz w:val="24"/>
          </w:rPr>
          <w:t xml:space="preserve"> February 2025 &lt;https://scholar.google.com/citations?view_op=view_citation&amp;hl=id&amp;user=GqdvHFYAAAAJ&amp;citation_for_view=GqdvHFYAAAAJ:zYLM7Y9cAGgC&gt;</w:t>
        </w:r>
      </w:di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Hidayah, Nurul, ‘AL-ITTIJÂHÂT AL-HADÎTSAH FÎ TA’LÎM AL-LUGHAH AL-‘ARABIYYAH BI AL-MA’HAD AS-SALAFI (DIRÂSAH AL-HÂLAH BIMADRASAH AL-MU’ALLIMÎN WA AL-MU’ALLIMÂT SABILUL HASANAH BANYUASIN)’, </w:t>
      </w:r>
      <w:r w:rsidRPr="00635736">
        <w:rPr>
          <w:rFonts w:ascii="Times New Roman" w:hAnsi="Times New Roman" w:cs="Times New Roman"/>
          <w:i/>
          <w:iCs/>
          <w:sz w:val="24"/>
        </w:rPr>
        <w:t>Taqdir</w:t>
      </w:r>
      <w:r w:rsidRPr="00635736">
        <w:rPr>
          <w:rFonts w:ascii="Times New Roman" w:hAnsi="Times New Roman" w:cs="Times New Roman"/>
          <w:sz w:val="24"/>
        </w:rPr>
        <w:t>, 1.1 (2015), pp. 128–54 &lt;https://jurnal.radenfatah.ac.id/index.php/Taqdir/article/view/653&gt;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 ‘PELUANG DAN TANTANGAN PEMEROLEHAN BAHASA ARAB SEBAGAI BAHASA KEDUA (KAJIAN PSKOLINGUISTIK PADA PEMBELAJARAN BAHASA ARAB): PELUANG DAN TANTANGAN PEMEROLEHAN BAHASA ARAB SEBAGAI BAHASA KEDUA (KAJIAN PSKOLINGUISTIK PADA PEMBELAJARAN BAHASA ARAB)’, </w:t>
      </w:r>
      <w:r w:rsidRPr="00635736">
        <w:rPr>
          <w:rFonts w:ascii="Times New Roman" w:hAnsi="Times New Roman" w:cs="Times New Roman"/>
          <w:i/>
          <w:iCs/>
          <w:sz w:val="24"/>
        </w:rPr>
        <w:t>Taqdir</w:t>
      </w:r>
      <w:r w:rsidRPr="00635736">
        <w:rPr>
          <w:rFonts w:ascii="Times New Roman" w:hAnsi="Times New Roman" w:cs="Times New Roman"/>
          <w:sz w:val="24"/>
        </w:rPr>
        <w:t>, 5.2 (2019), pp. 65–76, doi:10.19109/taqdir.v5i2.4922</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lastRenderedPageBreak/>
        <w:t xml:space="preserve">Hidayah, Nurul, Mukmin Mukmin, and Monika Rahma, ‘Kecerdasan Dan Kepribadian Siswa Di SMP IT Fathona Palembang Dan Pengaruhnya Terhadap Kemampuan Berbicara’, </w:t>
      </w:r>
      <w:r w:rsidRPr="00635736">
        <w:rPr>
          <w:rFonts w:ascii="Times New Roman" w:hAnsi="Times New Roman" w:cs="Times New Roman"/>
          <w:i/>
          <w:iCs/>
          <w:sz w:val="24"/>
        </w:rPr>
        <w:t>Taqdir</w:t>
      </w:r>
      <w:r w:rsidRPr="00635736">
        <w:rPr>
          <w:rFonts w:ascii="Times New Roman" w:hAnsi="Times New Roman" w:cs="Times New Roman"/>
          <w:sz w:val="24"/>
        </w:rPr>
        <w:t>, 7.1 (2021), pp. 115–30, doi:10.19109/taqdir.v7i1.8455</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Imron, Kristina, and others, ‘A New Direction of Arabic Language Teaching: Integration Muthala’ah Text Book and Religious Moderation Concept’, </w:t>
      </w:r>
      <w:r w:rsidRPr="00635736">
        <w:rPr>
          <w:rFonts w:ascii="Times New Roman" w:hAnsi="Times New Roman" w:cs="Times New Roman"/>
          <w:i/>
          <w:iCs/>
          <w:sz w:val="24"/>
        </w:rPr>
        <w:t>Al-Ta’rib: Jurnal Ilmiah Program Studi Pendidikan Bahasa Arab IAIN Palangka Raya</w:t>
      </w:r>
      <w:r w:rsidRPr="00635736">
        <w:rPr>
          <w:rFonts w:ascii="Times New Roman" w:hAnsi="Times New Roman" w:cs="Times New Roman"/>
          <w:sz w:val="24"/>
        </w:rPr>
        <w:t>, 12.1 (2024), pp. 69–88 &lt;https://e-journal.iain-palangkaraya.ac.id/index.php/tarib/article/view/7779&gt;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 ‘The New Trend in Development of The Textbook for Writing Based on The Integrative Approach for College Students in Indonesia’, in </w:t>
      </w:r>
      <w:r w:rsidRPr="00635736">
        <w:rPr>
          <w:rFonts w:ascii="Times New Roman" w:hAnsi="Times New Roman" w:cs="Times New Roman"/>
          <w:i/>
          <w:iCs/>
          <w:sz w:val="24"/>
        </w:rPr>
        <w:t>Gunung Djati Conference Series</w:t>
      </w:r>
      <w:r w:rsidRPr="00635736">
        <w:rPr>
          <w:rFonts w:ascii="Times New Roman" w:hAnsi="Times New Roman" w:cs="Times New Roman"/>
          <w:sz w:val="24"/>
        </w:rPr>
        <w:t xml:space="preserve">, 2023, </w:t>
      </w:r>
      <w:r w:rsidRPr="00635736">
        <w:rPr>
          <w:rFonts w:ascii="Times New Roman" w:hAnsi="Times New Roman" w:cs="Times New Roman"/>
          <w:smallCaps/>
          <w:sz w:val="24"/>
        </w:rPr>
        <w:t>xxvi</w:t>
      </w:r>
      <w:r w:rsidRPr="00635736">
        <w:rPr>
          <w:rFonts w:ascii="Times New Roman" w:hAnsi="Times New Roman" w:cs="Times New Roman"/>
          <w:sz w:val="24"/>
        </w:rPr>
        <w:t>, pp. 9–33 &lt;http://conferences.uinsgd.ac.id/index.php/gdcs/article/view/1651&gt;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Irmansyah, Irmansyah, and Lusia Pratiwi, ‘Model Pembelajaran Seven Power Key Dalam Pembelajaran Bahasa Arab Di SMP IT Fathonah Palembang’, </w:t>
      </w:r>
      <w:r w:rsidRPr="00635736">
        <w:rPr>
          <w:rFonts w:ascii="Times New Roman" w:hAnsi="Times New Roman" w:cs="Times New Roman"/>
          <w:i/>
          <w:iCs/>
          <w:sz w:val="24"/>
        </w:rPr>
        <w:t>Jurnal Al-Mashadir: Journal of Arabic Education and Literature</w:t>
      </w:r>
      <w:r w:rsidRPr="00635736">
        <w:rPr>
          <w:rFonts w:ascii="Times New Roman" w:hAnsi="Times New Roman" w:cs="Times New Roman"/>
          <w:sz w:val="24"/>
        </w:rPr>
        <w:t>, 1.1 (2021), pp. 30–46 &lt;https://ejournal.iain-manado.ac.id/index.php/almashadir/article/view/85&gt;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Irmansyah, Irmansyah, Muhammad Alfath Qaaf, and Yuslina Yuslina, ‘PENGEMBANGAN MEDIA PEMBELAJARAN BAHASA ARAB MENGGUNAKAN APLIKASI CANVA BERBASIS SAVI (SOMATIS, AUDITORI, VISUAL DAN IN℡EKTUAL)’, </w:t>
      </w:r>
      <w:r w:rsidRPr="00635736">
        <w:rPr>
          <w:rFonts w:ascii="Times New Roman" w:hAnsi="Times New Roman" w:cs="Times New Roman"/>
          <w:i/>
          <w:iCs/>
          <w:sz w:val="24"/>
        </w:rPr>
        <w:t>Jurnal Al-Mashadir: Journal of Arabic Education and Literature</w:t>
      </w:r>
      <w:r w:rsidRPr="00635736">
        <w:rPr>
          <w:rFonts w:ascii="Times New Roman" w:hAnsi="Times New Roman" w:cs="Times New Roman"/>
          <w:sz w:val="24"/>
        </w:rPr>
        <w:t>, 3.01 (2023), pp. 69–86 &lt;https://ejournal.iain-manado.ac.id/index.php/almashadir/article/view/610&gt;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Jamanuddin, Jamanuddin, and Sandra Kumbara, ‘TAQWÎM TA’LÎM MAHÂRAH AL-QIRÂAH FÎ AL-MADRASAH AL-TSÂNAWIYYAH BI MA’HAD MUQIMUSSUNNAH PALEMBANG’, </w:t>
      </w:r>
      <w:r w:rsidRPr="00635736">
        <w:rPr>
          <w:rFonts w:ascii="Times New Roman" w:hAnsi="Times New Roman" w:cs="Times New Roman"/>
          <w:i/>
          <w:iCs/>
          <w:sz w:val="24"/>
        </w:rPr>
        <w:t>Taqdir</w:t>
      </w:r>
      <w:r w:rsidRPr="00635736">
        <w:rPr>
          <w:rFonts w:ascii="Times New Roman" w:hAnsi="Times New Roman" w:cs="Times New Roman"/>
          <w:sz w:val="24"/>
        </w:rPr>
        <w:t>, 2.1 (2016) &lt;https://jurnal.radenfatah.ac.id/index.php/Taqdir/article/view/1698&gt;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muhammad, kemas, ‘Ta’līm as-Sharf Bi Kitâb Tashīl as-Sharfiyyah Fil-Madrasah Ats-Tsânawiyyah Ittifaqiyyah | Taqdir’, 2020 &lt;https://jurnal.radenfatah.ac.id/index.php/Taqdir/article/view/5893&gt;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muhammad, kemas, and nurwa purnama, ‘Pengembangan Bahan Ajar Maharah Kalam Berbasis Quantum Learning Menggunakan Media Flip Book Di Mi Al Ishlah Palembang’, </w:t>
      </w:r>
      <w:r w:rsidRPr="00635736">
        <w:rPr>
          <w:rFonts w:ascii="Times New Roman" w:hAnsi="Times New Roman" w:cs="Times New Roman"/>
          <w:i/>
          <w:iCs/>
          <w:sz w:val="24"/>
        </w:rPr>
        <w:t>Arabic Teaching and Learning International Conference (ATALIC)</w:t>
      </w:r>
      <w:r w:rsidRPr="00635736">
        <w:rPr>
          <w:rFonts w:ascii="Times New Roman" w:hAnsi="Times New Roman" w:cs="Times New Roman"/>
          <w:sz w:val="24"/>
        </w:rPr>
        <w:t>, 1 (2025), pp. 27–46</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Mukmin, Mukmin, and Nurul Hidayah, ‘TA’LÎM MAHÂRAH AL-QIRÂ’AH LIKULLI MARÂHIL AL-TA’LÎM’, </w:t>
      </w:r>
      <w:r w:rsidRPr="00635736">
        <w:rPr>
          <w:rFonts w:ascii="Times New Roman" w:hAnsi="Times New Roman" w:cs="Times New Roman"/>
          <w:i/>
          <w:iCs/>
          <w:sz w:val="24"/>
        </w:rPr>
        <w:t>Taqdir</w:t>
      </w:r>
      <w:r w:rsidRPr="00635736">
        <w:rPr>
          <w:rFonts w:ascii="Times New Roman" w:hAnsi="Times New Roman" w:cs="Times New Roman"/>
          <w:sz w:val="24"/>
        </w:rPr>
        <w:t>, 3.2 (2018), pp. 97–112, doi:10.19109/taqdir.v3i2.1768</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Nazarmanto, Nazarmanto, and Lidia Oktafia, ‘KHASHÂISH TA’LÎM AL-LUGHAH AL-‘ARABIYYAH BI THARIQAH AL-QIRÂAH AL-JAHRIYYAH BI MADRASAH AL-TSÂNAWIYYAH PARADIGMA PALEMBANG’, </w:t>
      </w:r>
      <w:r w:rsidRPr="00635736">
        <w:rPr>
          <w:rFonts w:ascii="Times New Roman" w:hAnsi="Times New Roman" w:cs="Times New Roman"/>
          <w:i/>
          <w:iCs/>
          <w:sz w:val="24"/>
        </w:rPr>
        <w:t>Taqdir</w:t>
      </w:r>
      <w:r w:rsidRPr="00635736">
        <w:rPr>
          <w:rFonts w:ascii="Times New Roman" w:hAnsi="Times New Roman" w:cs="Times New Roman"/>
          <w:sz w:val="24"/>
        </w:rPr>
        <w:t>, 4.1 (2018), pp. 107–22, doi:10.19109/taqdir.v4i1.2283</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lastRenderedPageBreak/>
        <w:t xml:space="preserve">Sabana, Rendi, Kristina Imron, and Shenyta Ulayya, ‘Pengembangan Materi Qiraah Berbasis Pendekatan Saintifik Dengan Media Pixton Komik Di MTsN 1 Palembang’, </w:t>
      </w:r>
      <w:r w:rsidRPr="00635736">
        <w:rPr>
          <w:rFonts w:ascii="Times New Roman" w:hAnsi="Times New Roman" w:cs="Times New Roman"/>
          <w:i/>
          <w:iCs/>
          <w:sz w:val="24"/>
        </w:rPr>
        <w:t>Arabia</w:t>
      </w:r>
      <w:r w:rsidRPr="00635736">
        <w:rPr>
          <w:rFonts w:ascii="Times New Roman" w:hAnsi="Times New Roman" w:cs="Times New Roman"/>
          <w:sz w:val="24"/>
        </w:rPr>
        <w:t>, 16.1 (2024), pp. 91–106 &lt;https://scholar.google.com/scholar?cluster=3532096930531459624&amp;hl=en&amp;oi=scholarr&gt;</w:t>
      </w:r>
    </w:p>
    <w:p w:rsidR="00635736" w:rsidRPr="00635736" w:rsidRDefault="00635736" w:rsidP="00635736">
      <w:pPr>
        <w:pStyle w:val="Bibliography"/>
        <w:rPr>
          <w:rFonts w:ascii="Times New Roman" w:hAnsi="Times New Roman" w:cs="Times New Roman"/>
          <w:sz w:val="24"/>
        </w:rPr>
      </w:pPr>
      <w:r w:rsidRPr="00635736">
        <w:rPr>
          <w:rFonts w:ascii="Times New Roman" w:hAnsi="Times New Roman" w:cs="Times New Roman"/>
          <w:sz w:val="24"/>
        </w:rPr>
        <w:t xml:space="preserve">Wasilah, Wasilah, and Tiyara Agustina, ‘AL-MUQÂRANAH BAYNA AL-KAFÂAH AL-TARBAWIYYAH LI-MUDARRIS AL-LUGHAH AL-‘ARABIYYAH AL-MUTAKHARRIJ FÎ QISM TA’LÎM AL-LUGHAH AL-‘ARABIYYAH WA AL-QISM AL-ÂKHAR FÎ MADRASAH AL-AHLIYYAH AL-MUTAWASSITHAH AL-ISLÂMIYYAH PALEMBANG’, </w:t>
      </w:r>
      <w:r w:rsidRPr="00635736">
        <w:rPr>
          <w:rFonts w:ascii="Times New Roman" w:hAnsi="Times New Roman" w:cs="Times New Roman"/>
          <w:i/>
          <w:iCs/>
          <w:sz w:val="24"/>
        </w:rPr>
        <w:t>Taqdir</w:t>
      </w:r>
      <w:r w:rsidRPr="00635736">
        <w:rPr>
          <w:rFonts w:ascii="Times New Roman" w:hAnsi="Times New Roman" w:cs="Times New Roman"/>
          <w:sz w:val="24"/>
        </w:rPr>
        <w:t>, 2.1 (2016) &lt;https://jurnal.radenfatah.ac.id/index.php/Taqdir/article/view/1700&gt;</w:t>
      </w:r>
    </w:p>
    <w:p w:rsidR="006C3B94" w:rsidRPr="000C5C14" w:rsidRDefault="0043467A" w:rsidP="00DD696E">
      <w:pPr>
        <w:spacing w:after="120" w:line="30" w:lineRule="atLeast"/>
        <w:ind w:left="547" w:hanging="567"/>
        <w:jc w:val="both"/>
        <w:rPr>
          <w:rFonts w:asciiTheme="majorBidi" w:hAnsiTheme="majorBidi" w:cstheme="majorBidi"/>
          <w:sz w:val="24"/>
          <w:szCs w:val="24"/>
        </w:rPr>
      </w:pPr>
      <w:r>
        <w:rPr>
          <w:rFonts w:asciiTheme="majorBidi" w:hAnsiTheme="majorBidi" w:cstheme="majorBidi"/>
          <w:sz w:val="24"/>
          <w:szCs w:val="24"/>
          <w:lang w:val="en-US"/>
        </w:rPr>
        <w:fldChar w:fldCharType="end"/>
      </w: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0C5C14" w:rsidRDefault="006C3B94" w:rsidP="00DD696E">
      <w:pPr>
        <w:spacing w:after="120" w:line="30" w:lineRule="atLeast"/>
        <w:ind w:left="547" w:hanging="567"/>
        <w:jc w:val="both"/>
        <w:rPr>
          <w:rFonts w:asciiTheme="majorBidi" w:hAnsiTheme="majorBidi" w:cstheme="majorBidi"/>
          <w:sz w:val="24"/>
          <w:szCs w:val="24"/>
        </w:rPr>
      </w:pPr>
    </w:p>
    <w:p w:rsidR="006C3B94" w:rsidRPr="0024408D" w:rsidRDefault="006C3B94" w:rsidP="00DD696E">
      <w:pPr>
        <w:spacing w:after="120" w:line="30" w:lineRule="atLeast"/>
        <w:ind w:left="547" w:hanging="567"/>
        <w:jc w:val="both"/>
        <w:rPr>
          <w:rFonts w:asciiTheme="majorBidi" w:hAnsiTheme="majorBidi" w:cstheme="majorBidi"/>
          <w:sz w:val="24"/>
          <w:szCs w:val="24"/>
        </w:rPr>
      </w:pPr>
    </w:p>
    <w:sectPr w:rsidR="006C3B94" w:rsidRPr="0024408D" w:rsidSect="006B4F3B">
      <w:footerReference w:type="defaul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FA" w:rsidRDefault="00CF19FA" w:rsidP="00F44B5D">
      <w:pPr>
        <w:spacing w:after="0" w:line="240" w:lineRule="auto"/>
      </w:pPr>
      <w:r>
        <w:separator/>
      </w:r>
    </w:p>
  </w:endnote>
  <w:endnote w:type="continuationSeparator" w:id="0">
    <w:p w:rsidR="00CF19FA" w:rsidRDefault="00CF19FA" w:rsidP="00F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Narkisim">
    <w:altName w:val="Segoe UI"/>
    <w:charset w:val="00"/>
    <w:family w:val="swiss"/>
    <w:pitch w:val="variable"/>
    <w:sig w:usb0="00000000" w:usb1="00000000" w:usb2="00000000" w:usb3="00000000" w:csb0="0000002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FAE" w:rsidRDefault="00516FAE" w:rsidP="00516FAE">
    <w:pPr>
      <w:pStyle w:val="Footer"/>
      <w:jc w:val="right"/>
    </w:pPr>
    <w:r w:rsidRPr="00280710">
      <w:rPr>
        <w:rFonts w:ascii="Andalus" w:hAnsi="Andalus" w:cs="Andalus"/>
        <w:color w:val="8496B0"/>
        <w:spacing w:val="60"/>
        <w:sz w:val="20"/>
        <w:szCs w:val="20"/>
      </w:rPr>
      <w:t>Jurnal Al Waraqah, Vol 1 No 1 Januari-Juni 2020</w:t>
    </w:r>
    <w:r>
      <w:t xml:space="preserve"> | </w:t>
    </w:r>
    <w:r>
      <w:fldChar w:fldCharType="begin"/>
    </w:r>
    <w:r>
      <w:instrText xml:space="preserve"> PAGE   \* MERGEFORMAT </w:instrText>
    </w:r>
    <w:r>
      <w:fldChar w:fldCharType="separate"/>
    </w:r>
    <w:r w:rsidR="00635736">
      <w:rPr>
        <w:noProof/>
      </w:rPr>
      <w:t>10</w:t>
    </w:r>
    <w:r>
      <w:rPr>
        <w:noProof/>
      </w:rPr>
      <w:fldChar w:fldCharType="end"/>
    </w:r>
  </w:p>
  <w:p w:rsidR="00516FAE" w:rsidRDefault="00516FAE" w:rsidP="00516FAE">
    <w:pPr>
      <w:pStyle w:val="Footer"/>
    </w:pPr>
  </w:p>
  <w:p w:rsidR="00614674" w:rsidRDefault="00614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FA" w:rsidRDefault="00CF19FA" w:rsidP="00F44B5D">
      <w:pPr>
        <w:spacing w:after="0" w:line="240" w:lineRule="auto"/>
      </w:pPr>
      <w:r>
        <w:separator/>
      </w:r>
    </w:p>
  </w:footnote>
  <w:footnote w:type="continuationSeparator" w:id="0">
    <w:p w:rsidR="00CF19FA" w:rsidRDefault="00CF19FA" w:rsidP="00F44B5D">
      <w:pPr>
        <w:spacing w:after="0" w:line="240" w:lineRule="auto"/>
      </w:pPr>
      <w:r>
        <w:continuationSeparator/>
      </w:r>
    </w:p>
  </w:footnote>
  <w:footnote w:id="1">
    <w:p w:rsidR="000C5C14" w:rsidRPr="000C5C14" w:rsidRDefault="000C5C14">
      <w:pPr>
        <w:pStyle w:val="FootnoteText"/>
        <w:rPr>
          <w:lang w:val="en-US"/>
        </w:rPr>
      </w:pPr>
      <w:r>
        <w:rPr>
          <w:rStyle w:val="FootnoteReference"/>
        </w:rPr>
        <w:footnoteRef/>
      </w:r>
      <w:r>
        <w:t xml:space="preserve"> </w:t>
      </w:r>
      <w:r>
        <w:fldChar w:fldCharType="begin"/>
      </w:r>
      <w:r>
        <w:instrText xml:space="preserve"> ADDIN ZOTERO_ITEM CSL_CITATION {"citationID":"Z9OI0MQu","properties":{"formattedCitation":"Kristina Imron, \\uc0\\u8216{}The New Trend in Development of The Textbook for Writing Based on The Integrative Approach for College Students in Indonesia\\uc0\\u8217{}, in {\\i{}Gunung Djati Conference Series}, 2023, {\\scaps xxvi}, pp. 9\\uc0\\u8211{}33 &lt;http://conferences.uinsgd.ac.id/index.php/gdcs/article/view/1651&gt;.","plainCitation":"Kristina Imron, ‘The New Trend in Development of The Textbook for Writing Based on The Integrative Approach for College Students in Indonesia’, in Gunung Djati Conference Series, 2023, xxvi, pp. 9–33 &lt;http://conferences.uinsgd.ac.id/index.php/gdcs/article/view/1651&gt;.","noteIndex":1},"citationItems":[{"id":103,"uris":["http://zotero.org/users/15999145/items/8PLVUSP3"],"itemData":{"id":103,"type":"paper-conference","container-title":"Gunung Djati Conference Series","page":"9–33","source":"Google Scholar","title":"The New Trend in Development of The Textbook for Writing Based on The Integrative Approach for College Students in Indonesia","URL":"http://conferences.uinsgd.ac.id/index.php/gdcs/article/view/1651","volume":"26","author":[{"family":"Imron","given":"Kristina"}],"accessed":{"date-parts":[["2024",12,16]]},"issued":{"date-parts":[["2023"]]}}}],"schema":"https://github.com/citation-style-language/schema/raw/master/csl-citation.json"} </w:instrText>
      </w:r>
      <w:r>
        <w:fldChar w:fldCharType="separate"/>
      </w:r>
      <w:r w:rsidRPr="000C5C14">
        <w:rPr>
          <w:rFonts w:ascii="Calibri" w:hAnsi="Calibri" w:cs="Calibri"/>
          <w:szCs w:val="24"/>
        </w:rPr>
        <w:t xml:space="preserve">Kristina Imron, ‘The New Trend in Development of The Textbook for Writing Based on The Integrative Approach for College Students in Indonesia’, in </w:t>
      </w:r>
      <w:r w:rsidRPr="000C5C14">
        <w:rPr>
          <w:rFonts w:ascii="Calibri" w:hAnsi="Calibri" w:cs="Calibri"/>
          <w:i/>
          <w:iCs/>
          <w:szCs w:val="24"/>
        </w:rPr>
        <w:t>Gunung Djati Conference Series</w:t>
      </w:r>
      <w:r w:rsidRPr="000C5C14">
        <w:rPr>
          <w:rFonts w:ascii="Calibri" w:hAnsi="Calibri" w:cs="Calibri"/>
          <w:szCs w:val="24"/>
        </w:rPr>
        <w:t xml:space="preserve">, 2023, </w:t>
      </w:r>
      <w:r w:rsidRPr="000C5C14">
        <w:rPr>
          <w:rFonts w:ascii="Calibri" w:hAnsi="Calibri" w:cs="Calibri"/>
          <w:smallCaps/>
          <w:szCs w:val="24"/>
        </w:rPr>
        <w:t>xxvi</w:t>
      </w:r>
      <w:r w:rsidRPr="000C5C14">
        <w:rPr>
          <w:rFonts w:ascii="Calibri" w:hAnsi="Calibri" w:cs="Calibri"/>
          <w:szCs w:val="24"/>
        </w:rPr>
        <w:t>, pp. 9–33 &lt;http://conferences.uinsgd.ac.id/index.php/gdcs/article/view/1651&gt;.</w:t>
      </w:r>
      <w:r>
        <w:fldChar w:fldCharType="end"/>
      </w:r>
    </w:p>
  </w:footnote>
  <w:footnote w:id="2">
    <w:p w:rsidR="00635736" w:rsidRPr="00635736" w:rsidRDefault="00635736">
      <w:pPr>
        <w:pStyle w:val="FootnoteText"/>
        <w:rPr>
          <w:lang w:val="en-US"/>
        </w:rPr>
      </w:pPr>
      <w:r>
        <w:rPr>
          <w:rStyle w:val="FootnoteReference"/>
        </w:rPr>
        <w:footnoteRef/>
      </w:r>
      <w:r>
        <w:t xml:space="preserve"> </w:t>
      </w:r>
      <w:r>
        <w:fldChar w:fldCharType="begin"/>
      </w:r>
      <w:r>
        <w:instrText xml:space="preserve"> ADDIN ZOTERO_ITEM CSL_CITATION {"citationID":"ZRtLgg1c","properties":{"formattedCitation":"Nurul Hidayah, \\uc0\\u8216{}PELUANG DAN TANTANGAN PEMEROLEHAN BAHASA ARAB SEBAGAI BAHASA KEDUA (KAJIAN PSKOLINGUISTIK PADA PEMBELAJARAN BAHASA ARAB): PELUANG DAN TANTANGAN PEMEROLEHAN BAHASA ARAB SEBAGAI BAHASA KEDUA (KAJIAN PSKOLINGUISTIK PADA PEMBELAJARAN BAHASA ARAB)\\uc0\\u8217{}, {\\i{}Taqdir}, 5.2 (2019), pp. 65\\uc0\\u8211{}76, doi:10.19109/taqdir.v5i2.4922.","plainCitation":"Nurul Hidayah, ‘PELUANG DAN TANTANGAN PEMEROLEHAN BAHASA ARAB SEBAGAI BAHASA KEDUA (KAJIAN PSKOLINGUISTIK PADA PEMBELAJARAN BAHASA ARAB): PELUANG DAN TANTANGAN PEMEROLEHAN BAHASA ARAB SEBAGAI BAHASA KEDUA (KAJIAN PSKOLINGUISTIK PADA PEMBELAJARAN BAHASA ARAB)’, Taqdir, 5.2 (2019), pp. 65–76, doi:10.19109/taqdir.v5i2.4922.","noteIndex":2},"citationItems":[{"id":37,"uris":["http://zotero.org/users/15999145/items/LXK556W2"],"itemData":{"id":37,"type":"article-journal","abstract":"Bahasa kedua sering dibedakan dengan istilah bahasa asing. Alasan utamanya adalah bahasa asing cendrung jarang digunakan dalam keseharian pembelajar, tidak seperti bahasa kedua yang tentunya akan digunakan pembelajar dalam kesehariannya. Bahasa kedua untuk pembelajar Indonesia adalah bahasa Indonesia, sedangkan bahasa asing yang digelutinya diantaranya adalah bahasa Arab. Permasalahan muncul ketika bahasa asing juga digunakan dalam keseharian Pembelajar seperti di beberapa sekolah yang memiliki system boarding school. Sekolah ini biasanya akan membuat sebuah wadah yang akan memfasilitasi Pembelajar bahasa agar bisa menggunakan bahasa yang mereka pelajari ke dalam bahasa kesehariannya. Jika dilihat dari fenomena tersebut maka sebenarnya sekolah tersebut sedang membuat suasana pembelajaran bahasa asing&amp;nbsp; agar &amp;nbsp;bisa memiliki sebuah proses layaknya proses pemerolehan bahasa. Sebagaimana proses pemerolehan bahasa pertama, pemerolehan bahasa kedua juga dipelopori dengan kemampuan menyimak. Hal ini tentunya didasari oleh fitrah manusia yang lebih dahulu memiliki kemampuan tersebut dibanding kemampuan berbahasa lainya seperti &amp;nbsp;berbicara, membaca dan menulis. Usaha pemerolehan bahasa kedua ini tentu saja akan memiliki peluang yaitu adanya lingkungan bahasa buatan bisa mengoptimalkan pemerolehan bahasa. Sedangkan tantanganya adalah adanya perbedaan bentuk dan penggunaan bahasa arab dibandingkan dengan bahasa Indonesia, sehingga pembelajar akan cendrung melakukan tiga kesalahan yaitu kesalahan interlanguage, intralanguage, dan kesalahan pada content kalimat.\nKata kunci: Pemerolehan Bahasa Arab, Kesalahan berbahasa","container-title":"Taqdir","DOI":"10.19109/taqdir.v5i2.4922","ISSN":"2621-1157","issue":"2","language":"id","license":"Copyright (c) 2019 Taqdir","note":"number: 2","page":"65-76","source":"jurnal.radenfatah.ac.id","title":"PELUANG DAN TANTANGAN PEMEROLEHAN BAHASA ARAB SEBAGAI BAHASA KEDUA (KAJIAN PSKOLINGUISTIK PADA PEMBELAJARAN BAHASA ARAB): PELUANG DAN TANTANGAN PEMEROLEHAN BAHASA ARAB SEBAGAI BAHASA KEDUA (KAJIAN PSKOLINGUISTIK PADA PEMBELAJARAN BAHASA ARAB)","title-short":"PELUANG DAN TANTANGAN PEMEROLEHAN BAHASA ARAB SEBAGAI BAHASA KEDUA (KAJIAN PSKOLINGUISTIK PADA PEMBELAJARAN BAHASA ARAB)","URL":"https://jurnal.radenfatah.ac.id/index.php/Taqdir/article/view/4922","volume":"5","author":[{"family":"Hidayah","given":"Nurul"}],"accessed":{"date-parts":[["2024",12,15]]},"issued":{"date-parts":[["2019"]]}}}],"schema":"https://github.com/citation-style-language/schema/raw/master/csl-citation.json"} </w:instrText>
      </w:r>
      <w:r>
        <w:fldChar w:fldCharType="separate"/>
      </w:r>
      <w:r w:rsidRPr="00635736">
        <w:rPr>
          <w:rFonts w:ascii="Calibri" w:hAnsi="Calibri" w:cs="Calibri"/>
          <w:szCs w:val="24"/>
        </w:rPr>
        <w:t xml:space="preserve">Nurul Hidayah, ‘PELUANG DAN TANTANGAN PEMEROLEHAN BAHASA ARAB SEBAGAI BAHASA KEDUA (KAJIAN PSKOLINGUISTIK PADA PEMBELAJARAN BAHASA ARAB): PELUANG DAN TANTANGAN PEMEROLEHAN BAHASA ARAB SEBAGAI BAHASA KEDUA (KAJIAN PSKOLINGUISTIK PADA PEMBELAJARAN BAHASA ARAB)’, </w:t>
      </w:r>
      <w:r w:rsidRPr="00635736">
        <w:rPr>
          <w:rFonts w:ascii="Calibri" w:hAnsi="Calibri" w:cs="Calibri"/>
          <w:i/>
          <w:iCs/>
          <w:szCs w:val="24"/>
        </w:rPr>
        <w:t>Taqdir</w:t>
      </w:r>
      <w:r w:rsidRPr="00635736">
        <w:rPr>
          <w:rFonts w:ascii="Calibri" w:hAnsi="Calibri" w:cs="Calibri"/>
          <w:szCs w:val="24"/>
        </w:rPr>
        <w:t>, 5.2 (2019), pp. 65–76, doi:10.19109/taqdir.v5i2.4922.</w:t>
      </w:r>
      <w:r>
        <w:fldChar w:fldCharType="end"/>
      </w:r>
    </w:p>
  </w:footnote>
  <w:footnote w:id="3">
    <w:p w:rsidR="000C5C14" w:rsidRPr="000C5C14" w:rsidRDefault="000C5C14">
      <w:pPr>
        <w:pStyle w:val="FootnoteText"/>
        <w:rPr>
          <w:lang w:val="en-US"/>
        </w:rPr>
      </w:pPr>
      <w:r>
        <w:rPr>
          <w:rStyle w:val="FootnoteReference"/>
        </w:rPr>
        <w:footnoteRef/>
      </w:r>
      <w:r>
        <w:t xml:space="preserve"> </w:t>
      </w:r>
      <w:r>
        <w:fldChar w:fldCharType="begin"/>
      </w:r>
      <w:r>
        <w:instrText xml:space="preserve"> ADDIN ZOTERO_ITEM CSL_CITATION {"citationID":"b71m53Ec","properties":{"formattedCitation":"Wasilah Wasilah and Tiyara Agustina, \\uc0\\u8216{}AL-MUQ\\uc0\\u194{}RANAH BAYNA AL-KAF\\uc0\\u194{}AH AL-TARBAWIYYAH LI-MUDARRIS AL-LUGHAH AL-\\uc0\\u8216{}ARABIYYAH AL-MUTAKHARRIJ F\\uc0\\u206{} QISM TA\\uc0\\u8217{}L\\uc0\\u206{}M AL-LUGHAH AL-\\uc0\\u8216{}ARABIYYAH WA AL-QISM AL-\\uc0\\u194{}KHAR F\\uc0\\u206{} MADRASAH AL-AHLIYYAH AL-MUTAWASSITHAH AL-ISL\\uc0\\u194{}MIYYAH PALEMBANG\\uc0\\u8217{}, {\\i{}Taqdir}, 2.1 (2016) &lt;https://jurnal.radenfatah.ac.id/index.php/Taqdir/article/view/1700&gt;.","plainCitation":"Wasilah Wasilah and Tiyara Agustina, ‘AL-MUQÂRANAH BAYNA AL-KAFÂAH AL-TARBAWIYYAH LI-MUDARRIS AL-LUGHAH AL-‘ARABIYYAH AL-MUTAKHARRIJ FÎ QISM TA’LÎM AL-LUGHAH AL-‘ARABIYYAH WA AL-QISM AL-ÂKHAR FÎ MADRASAH AL-AHLIYYAH AL-MUTAWASSITHAH AL-ISLÂMIYYAH PALEMBANG’, Taqdir, 2.1 (2016) &lt;https://jurnal.radenfatah.ac.id/index.php/Taqdir/article/view/1700&gt;.","noteIndex":2},"citationItems":[{"id":32,"uris":["http://zotero.org/users/15999145/items/JVD9242P"],"itemData":{"id":32,"type":"article-journal","abstract":"</w:instrText>
      </w:r>
      <w:r>
        <w:rPr>
          <w:rtl/>
        </w:rPr>
        <w:instrText>كان بعض معلم اللغة العربية هذا اليوم ليس المتخرج في قسم تعليم اللغة العربية فحسب بل المتخرج في الأقسام الأخرى. هذا هو سؤال مهم، هل ممكن أن يعلم اللغة العربية جيدا كما علمها المتخرج الخاص في هذا القسم. لذا، انجذبت الباحثة أن تبحثها عميقا عن هذه الظواهر. أما النتائج لهذا البحث تظهر أن المقارنة بين الكفاءة التربوية لمدرس اللغة العربية المتخرج في قسم تعليم اللغة العربية و في القسم الآخر هي 6،79، أما ثمنتت</w:instrText>
      </w:r>
      <w:r>
        <w:instrText xml:space="preserve"> &amp;nbsp;</w:instrText>
      </w:r>
      <w:r>
        <w:rPr>
          <w:rtl/>
        </w:rPr>
        <w:instrText>التي حاصل من مرحلة 5% تت = 2،23 و في مرحلة 1% تت = 3،17. فالخلاصة من هذه النتائج هي 3,17</w:instrText>
      </w:r>
      <w:r>
        <w:instrText xml:space="preserve"> &amp;lt; 6،79 &amp;gt;2,23 </w:instrText>
      </w:r>
      <w:r>
        <w:rPr>
          <w:rtl/>
        </w:rPr>
        <w:instrText>هاؤ مردود و هأ مقبول، هذه الحالة تظهر أن لهذين نوعين الإختلاف الكبيرة بين الكفاءة التربوية لمعلم اللغة العربية المتخرج في قسم تعليم اللغة العربية</w:instrText>
      </w:r>
      <w:r>
        <w:instrText xml:space="preserve"> </w:instrText>
      </w:r>
      <w:r>
        <w:rPr>
          <w:rtl/>
        </w:rPr>
        <w:instrText>و الأقسام الآخر</w:instrText>
      </w:r>
      <w:r>
        <w:instrText xml:space="preserve">.\nBeberapa guru bahasa arab saat ini bukan hanya berasal dari lulusan Prodi PBA saja tapi juga berasal dari prodi lain. Ini lah yang menjadi pertanyaan besar, apakah mereka yang bukan berasal dari prodi ini mampu mengajarkan bahasa arab sama hal nya dengan alumni dari prodi PBA. Karena itu peneliti tertarik untuk membahasnya secara mendalam tentang fenomena tersebut. Penelitian ini menunjukkan bahwa perbedaan kompetensi paedagogik guru alumni Prodi PBA dan Prodi lainnya adalah 6,79. Adapun nilai t tabel 5 % sebesar 2,23, sedangkan tabel 1% sebesar 3,17. Dapat disimpulkan bahwa 3,17&amp;lt; 6,79 &amp;gt; 2,23 dari nilai ini menunjukkan bahwa Ha diterima sehingga disimpulkan bahwa terdapat perbedaan kompetensi paedagogik yang positif dan signifikan antara alumni pendidikan bahasa Arab dan prodi lain.","container-title":"Taqdir","ISSN":"2621-1157","issue":"1","language":"id","license":"Copyright (c) 2018 Taqdir","note":"number: 1","source":"jurnal.radenfatah.ac.id","title":"AL-MUQÂRANAH BAYNA AL-KAFÂAH AL-TARBAWIYYAH LI-MUDARRIS AL-LUGHAH AL-‘ARABIYYAH AL-MUTAKHARRIJ FÎ QISM TA’LÎM AL-LUGHAH AL-‘ARABIYYAH WA AL-QISM AL-ÂKHAR FÎ MADRASAH AL-AHLIYYAH AL-MUTAWASSITHAH AL-ISLÂMIYYAH PALEMBANG","URL":"https://jurnal.radenfatah.ac.id/index.php/Taqdir/article/view/1700","volume":"2","author":[{"family":"Wasilah","given":"Wasilah"},{"family":"Agustina","given":"Tiyara"}],"accessed":{"date-parts":[["2024",12,15]]},"issued":{"date-parts":[["2016"]]}}}],"schema":"https://github.com/citation-style-language/schema/raw/master/csl-citation.json"} </w:instrText>
      </w:r>
      <w:r>
        <w:fldChar w:fldCharType="separate"/>
      </w:r>
      <w:r w:rsidRPr="000C5C14">
        <w:rPr>
          <w:rFonts w:ascii="Calibri" w:hAnsi="Calibri" w:cs="Calibri"/>
          <w:szCs w:val="24"/>
        </w:rPr>
        <w:t xml:space="preserve">Wasilah Wasilah and Tiyara Agustina, ‘AL-MUQÂRANAH BAYNA AL-KAFÂAH AL-TARBAWIYYAH LI-MUDARRIS AL-LUGHAH AL-‘ARABIYYAH AL-MUTAKHARRIJ FÎ QISM TA’LÎM AL-LUGHAH AL-‘ARABIYYAH WA AL-QISM AL-ÂKHAR FÎ MADRASAH AL-AHLIYYAH AL-MUTAWASSITHAH AL-ISLÂMIYYAH PALEMBANG’, </w:t>
      </w:r>
      <w:r w:rsidRPr="000C5C14">
        <w:rPr>
          <w:rFonts w:ascii="Calibri" w:hAnsi="Calibri" w:cs="Calibri"/>
          <w:i/>
          <w:iCs/>
          <w:szCs w:val="24"/>
        </w:rPr>
        <w:t>Taqdir</w:t>
      </w:r>
      <w:r w:rsidRPr="000C5C14">
        <w:rPr>
          <w:rFonts w:ascii="Calibri" w:hAnsi="Calibri" w:cs="Calibri"/>
          <w:szCs w:val="24"/>
        </w:rPr>
        <w:t>, 2.1 (2016) &lt;https://jurnal.radenfatah.ac.id/index.php/Taqdir/article/view/1700&gt;.</w:t>
      </w:r>
      <w:r>
        <w:fldChar w:fldCharType="end"/>
      </w:r>
    </w:p>
  </w:footnote>
  <w:footnote w:id="4">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{"citationID":"06SIXwpc","properties":{"formattedCitation":"Rendi Sabana, Kristina Imron, and Shenyta Ulayya, \\uc0\\u8216{}Pengembangan Materi Qiraah Berbasis Pendekatan Saintifik Dengan Media Pixton Komik Di MTsN 1 Palembang\\uc0\\u8217{}, {\\i{}Arabia}, 16.1 (2024), pp. 91\\uc0\\u8211{}106 &lt;https://scholar.google.com/scholar?cluster=3532096930531459624&amp;hl=en&amp;oi=scholarr&gt;.","plainCitation":"Rendi Sabana, Kristina Imron, and Shenyta Ulayya, ‘Pengembangan Materi Qiraah Berbasis Pendekatan Saintifik Dengan Media Pixton Komik Di MTsN 1 Palembang’, Arabia, 16.1 (2024), pp. 91–106 &lt;https://scholar.google.com/scholar?cluster=3532096930531459624&amp;hl=en&amp;oi=scholarr&gt;.","noteIndex":1},"citationItems":[{"id":99,"uris":["http://zotero.org/users/15999145/items/FJAV6WN5"],"itemData":{"id":99,"type":"article-journal","container-title":"Arabia","issue":"1","page":"91–106","source":"Google Scholar","title":"Pengembangan Materi Qiraah Berbasis Pendekatan Saintifik Dengan Media Pixton Komik di MTsN 1 Palembang","URL":"https://scholar.google.com/scholar?cluster=3532096930531459624&amp;hl=en&amp;oi=scholarr","volume":"16","author":[{"family":"Sabana","given":"Rendi"},{"family":"Imron","given":"Kristina"},{"family":"Ulayya","given":"Shenyta"}],"accessed":{"date-parts":[["2024",12,16]]},"issued":{"date-parts":[["2024"]]}}}],"schema":"https://github.com/citation-style-language/schema/raw/master/csl-citation.json"} </w:instrText>
      </w:r>
      <w:r>
        <w:fldChar w:fldCharType="separate"/>
      </w:r>
      <w:r w:rsidRPr="0043467A">
        <w:rPr>
          <w:rFonts w:ascii="Calibri" w:hAnsi="Calibri" w:cs="Calibri"/>
          <w:szCs w:val="24"/>
        </w:rPr>
        <w:t xml:space="preserve">Rendi Sabana, Kristina Imron, and Shenyta Ulayya, ‘Pengembangan Materi Qiraah Berbasis Pendekatan Saintifik Dengan Media Pixton Komik Di MTsN 1 Palembang’, </w:t>
      </w:r>
      <w:r w:rsidRPr="0043467A">
        <w:rPr>
          <w:rFonts w:ascii="Calibri" w:hAnsi="Calibri" w:cs="Calibri"/>
          <w:i/>
          <w:iCs/>
          <w:szCs w:val="24"/>
        </w:rPr>
        <w:t>Arabia</w:t>
      </w:r>
      <w:r w:rsidRPr="0043467A">
        <w:rPr>
          <w:rFonts w:ascii="Calibri" w:hAnsi="Calibri" w:cs="Calibri"/>
          <w:szCs w:val="24"/>
        </w:rPr>
        <w:t>, 16.1 (2024), pp. 91–106 &lt;https://scholar.google.com/scholar?cluster=3532096930531459624&amp;hl=en&amp;oi=scholarr&gt;.</w:t>
      </w:r>
      <w:r>
        <w:fldChar w:fldCharType="end"/>
      </w:r>
    </w:p>
  </w:footnote>
  <w:footnote w:id="5">
    <w:p w:rsidR="00635736" w:rsidRPr="00635736" w:rsidRDefault="00635736">
      <w:pPr>
        <w:pStyle w:val="FootnoteText"/>
        <w:rPr>
          <w:lang w:val="en-US"/>
        </w:rPr>
      </w:pPr>
      <w:r>
        <w:rPr>
          <w:rStyle w:val="FootnoteReference"/>
        </w:rPr>
        <w:footnoteRef/>
      </w:r>
      <w:r>
        <w:t xml:space="preserve"> </w:t>
      </w:r>
      <w:r>
        <w:fldChar w:fldCharType="begin"/>
      </w:r>
      <w:r>
        <w:instrText xml:space="preserve"> ADDIN ZOTERO_ITEM CSL_CITATION {"citationID":"ANSyJpJp","properties":{"formattedCitation":"Farid Al Bathothiy, Bambang Prasetyo, and Muhammad Andre Syahputra, \\uc0\\u8216{}\\uc0\\u8235{}\\uc0\\u1578{}\\uc0\\u1593{}\\uc0\\u1604{}\\uc0\\u1610{}\\uc0\\u1605{} \\uc0\\u1575{}\\uc0\\u1604{}\\uc0\\u1604{}\\uc0\\u1594{}\\uc0\\u1577{} \\uc0\\u1575{}\\uc0\\u1604{}\\uc0\\u1593{}\\uc0\\u1585{}\\uc0\\u1576{}\\uc0\\u1610{}\\uc0\\u1577{} \\uc0\\u1576{}\\uc0\\u1575{}\\uc0\\u1587{}\\uc0\\u1578{}\\uc0\\u1582{}\\uc0\\u1583{}\\uc0\\u1575{}\\uc0\\u1605{} \\uc0\\u1603{}\\uc0\\u1578{}\\uc0\\u1575{}\\uc0\\u1576{} \\uc0\\u1578{}\\uc0\\u1593{}\\uc0\\u1604{}\\uc0\\u1610{}\\uc0\\u1605{} \\uc0\\u1575{}\\uc0\\u1604{}\\uc0\\u1604{}\\uc0\\u1594{}\\uc0\\u1577{} \\uc0\\u1575{}\\uc0\\u1604{}\\uc0\\u1593{}\\uc0\\u1585{}\\uc0\\u1576{}\\uc0\\u1610{}\\uc0\\u1577{} \\uc0\\u1604{}\\uc0\\u1594{}\\uc0\\u1610{}\\uc0\\u1585{} \\uc0\\u1575{}\\uc0\\u1604{}\\uc0\\u1606{}\\uc0\\u1575{}\\uc0\\u1591{}\\uc0\\u1602{}\\uc0\\u1610{}\\uc0\\u1606{} \\uc0\\u1576{}\\uc0\\u1607{}\\uc0\\u1575{}\\uc0\\u8236{}\\uc0\\u8217{}, 1 February 2025 &lt;https://scholar.google.com/citations?view_op=view_citation&amp;hl=id&amp;user=GqdvHFYAAAAJ&amp;citation_for_view=GqdvHFYAAAAJ:zYLM7Y9cAGgC&gt;.","plainCitation":"Farid Al Bathothiy, Bambang Prasetyo, and Muhammad Andre Syahputra, ‘</w:instrText>
      </w:r>
      <w:dir w:val="rtl">
        <w:r>
          <w:rPr>
            <w:rtl/>
          </w:rPr>
          <w:instrText>تعليم اللغة العربية باستخدام كتاب تعليم اللغة العربية لغير الناطقين بها</w:instrText>
        </w:r>
        <w:r>
          <w:rPr>
            <w:rtl/>
          </w:rPr>
          <w:instrText>‬’, 1</w:instrText>
        </w:r>
        <w:r>
          <w:instrText xml:space="preserve"> February 2025 &lt;https://scholar.google.com/citations?view_op=view_citation&amp;hl=id&amp;user=GqdvHFYAAAAJ&amp;citation_for_view=GqdvHFYAAAAJ:zYLM7Y9cAGgC&gt;.","noteIndex":5},"citationItems":[{"id":135,"uris":["http://zotero.org/users/15999145/items/GP2HBKZJ"],"itemData":{"id":135,"type":"webpage","abstract":"</w:instrText>
        </w:r>
        <w:dir w:val="ltr">
          <w:r>
            <w:instrText>F Al Bathothiy, B Prasetyo, MA Syahputra</w:instrText>
          </w:r>
          <w:r>
            <w:instrText xml:space="preserve">‬, </w:instrText>
          </w:r>
          <w:dir w:val="ltr">
            <w:r>
              <w:instrText>Arabic Teaching and Learning International Conference (ATALIC), 2025</w:instrText>
            </w:r>
            <w:r>
              <w:instrText>‬","title":"</w:instrText>
            </w:r>
            <w:dir w:val="rtl">
              <w:r>
                <w:rPr>
                  <w:rtl/>
                </w:rPr>
                <w:instrText>تعليم اللغة العربية باستخدام كتاب تعليم اللغة العربية لغير الناطقين بها</w:instrText>
              </w:r>
              <w:r>
                <w:rPr>
                  <w:rtl/>
                </w:rPr>
                <w:instrText>‬</w:instrText>
              </w:r>
              <w:r>
                <w:instrText xml:space="preserve">","URL":"https://scholar.google.com/citations?view_op=view_citation&amp;hl=id&amp;user=GqdvHFYAAAAJ&amp;citation_for_view=GqdvHFYAAAAJ:zYLM7Y9cAGgC","author":[{"family":"Bathothiy","given":"Farid Al"},{"family":"Prasetyo","given":"Bambang"},{"family":"Syahputra","given":"Muhammad Andre"}],"accessed":{"date-parts":[["2025",3,7]]},"issued":{"date-parts":[["2025",2,1]]}}}],"schema":"https://github.com/citation-style-language/schema/raw/master/csl-citation.json"} </w:instrText>
              </w:r>
              <w:r>
                <w:fldChar w:fldCharType="separate"/>
              </w:r>
              <w:r w:rsidRPr="00635736">
                <w:rPr>
                  <w:rFonts w:ascii="Calibri" w:hAnsi="Calibri" w:cs="Calibri"/>
                  <w:szCs w:val="24"/>
                </w:rPr>
                <w:t>Farid Al Bathothiy, Bambang Prasetyo, and Muhammad Andre Syahputra, ‘</w:t>
              </w:r>
              <w:dir w:val="rtl">
                <w:r w:rsidRPr="00635736">
                  <w:rPr>
                    <w:rFonts w:ascii="Calibri" w:hAnsi="Calibri" w:cs="Calibri"/>
                    <w:szCs w:val="24"/>
                    <w:rtl/>
                  </w:rPr>
                  <w:t>تعليم اللغة العربية باستخدام كتاب تعليم اللغة العربية لغير الناطقين بها</w:t>
                </w:r>
                <w:r w:rsidRPr="00635736">
                  <w:rPr>
                    <w:rFonts w:ascii="Calibri" w:hAnsi="Calibri" w:cs="Calibri"/>
                    <w:szCs w:val="24"/>
                    <w:rtl/>
                  </w:rPr>
                  <w:t>‬’, 1</w:t>
                </w:r>
                <w:r w:rsidRPr="00635736">
                  <w:rPr>
                    <w:rFonts w:ascii="Calibri" w:hAnsi="Calibri" w:cs="Calibri"/>
                    <w:szCs w:val="24"/>
                  </w:rPr>
                  <w:t xml:space="preserve"> February 2025 &lt;https://scholar.google.com/citations?view_op=view_citation&amp;hl=id&amp;user=GqdvHFYAAAAJ&amp;citation_for_view=GqdvHFYAAAAJ:zYLM7Y9cAGgC&gt;.</w:t>
                </w:r>
                <w:r>
                  <w:fldChar w:fldCharType="end"/>
                </w:r>
              </w:dir>
            </w:dir>
          </w:dir>
        </w:dir>
      </w:dir>
    </w:p>
  </w:footnote>
  <w:footnote w:id="6">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{"citationID":"aLLN2Odf","properties":{"formattedCitation":"Mukmin Mukmin and Nurul Hidayah, \\uc0\\u8216{}TA\\uc0\\u8217{}L\\uc0\\u206{}M MAH\\uc0\\u194{}RAH AL-QIR\\uc0\\u194{}\\uc0\\u8217{}AH LIKULLI MAR\\uc0\\u194{}HIL AL-TA\\uc0\\u8217{}L\\uc0\\u206{}M\\uc0\\u8217{}, {\\i{}Taqdir}, 3.2 (2018), pp. 97\\uc0\\u8211{}112, doi:10.19109/taqdir.v3i2.1768.","plainCitation":"Mukmin Mukmin and Nurul Hidayah, ‘TA’LÎM MAHÂRAH AL-QIRÂ’AH LIKULLI MARÂHIL AL-TA’LÎM’, Taqdir, 3.2 (2018), pp. 97–112, doi:10.19109/taqdir.v3i2.1768.","noteIndex":2},"citationItems":[{"id":62,"uris":["http://zotero.org/users/15999145/items/6Y435V4I"],"itemData":{"id":62,"type":"article-journal","abstract":"</w:instrText>
      </w:r>
      <w:r>
        <w:rPr>
          <w:rtl/>
        </w:rPr>
        <w:instrText>مهارة القراءة هي جزء من المهارات اللغوية الأربعة</w:instrText>
      </w:r>
      <w:r>
        <w:instrText xml:space="preserve">. </w:instrText>
      </w:r>
      <w:r>
        <w:rPr>
          <w:rtl/>
        </w:rPr>
        <w:instrText>وقد تعلم متعلم اللغة العربية هذه المهارات أكثر من المهارات الأخرى. هم يستخدمون كفاءتهم في قواعد اللغة العربية ليقرؤوا الكتب الصفراء أي النصوص القديمة ثم يناقشون المباحث في هذا الكتب مع الآخرين باستخدام اللغة الوطنية. بالنظر إلى ذلك، فينبغي على الطلبة أنيعودهم التكلم أو التحدث باللغة العربية لأنهم قد نالوا المفردات من القراءة. ولكن بعض الطلبة لم يتكلموا باللغة العربية جيدا بسبب قلة الوقت لتعبير دروسهم العربية، مهما كانوا يدرسون النصوص. فلابد على المعلم أن يتعود الطلاب ليقراء النص بوجه صحيح بالقراءة السرية</w:instrText>
      </w:r>
      <w:r>
        <w:instrText xml:space="preserve"> </w:instrText>
      </w:r>
      <w:r>
        <w:rPr>
          <w:rtl/>
        </w:rPr>
        <w:instrText>ثم الجهرية طبعا بنطق صحيح لجيمع أصوات الأحرف، وصحة الإعراب حتى يعبر مايقرأ بوقت قليل ويفهم الطلاب القراءة فهما جيدا ويعرها بعدها كقياس من فاهم النصوص المقروءة</w:instrText>
      </w:r>
      <w:r>
        <w:instrText xml:space="preserve">.","container-title":"Taqdir","DOI":"10.19109/taqdir.v3i2.1768","ISSN":"2621-1157, 2527-9807","issue":"2","journalAbbreviation":"taqdir","page":"97-112","source":"DOI.org (Crossref)","title":"TA’LÎM MAHÂRAH AL-QIRÂ’AH LIKULLI MARÂHIL AL-TA’LÎM","URL":"http://jurnal.radenfatah.ac.id/index.php/Taqdir/article/view/1768","volume":"3","author":[{"family":"Mukmin","given":"Mukmin"},{"family":"Hidayah","given":"Nurul"}],"accessed":{"date-parts":[["2024",12,15]]},"issued":{"date-parts":[["2018",2,6]]}}}],"schema":"https://github.com/citation-style-language/schema/raw/master/csl-citation.json"} </w:instrText>
      </w:r>
      <w:r>
        <w:fldChar w:fldCharType="separate"/>
      </w:r>
      <w:r w:rsidRPr="0043467A">
        <w:rPr>
          <w:rFonts w:ascii="Calibri" w:hAnsi="Calibri" w:cs="Calibri"/>
          <w:szCs w:val="24"/>
        </w:rPr>
        <w:t xml:space="preserve">Mukmin Mukmin and Nurul Hidayah, ‘TA’LÎM MAHÂRAH AL-QIRÂ’AH LIKULLI MARÂHIL AL-TA’LÎM’, </w:t>
      </w:r>
      <w:r w:rsidRPr="0043467A">
        <w:rPr>
          <w:rFonts w:ascii="Calibri" w:hAnsi="Calibri" w:cs="Calibri"/>
          <w:i/>
          <w:iCs/>
          <w:szCs w:val="24"/>
        </w:rPr>
        <w:t>Taqdir</w:t>
      </w:r>
      <w:r w:rsidRPr="0043467A">
        <w:rPr>
          <w:rFonts w:ascii="Calibri" w:hAnsi="Calibri" w:cs="Calibri"/>
          <w:szCs w:val="24"/>
        </w:rPr>
        <w:t>, 3.2 (2018), pp. 97–112, doi:10.19109/taqdir.v3i2.1768.</w:t>
      </w:r>
      <w:r>
        <w:fldChar w:fldCharType="end"/>
      </w:r>
    </w:p>
  </w:footnote>
  <w:footnote w:id="7">
    <w:p w:rsidR="00635736" w:rsidRPr="00635736" w:rsidRDefault="00635736">
      <w:pPr>
        <w:pStyle w:val="FootnoteText"/>
        <w:rPr>
          <w:lang w:val="en-US"/>
        </w:rPr>
      </w:pPr>
      <w:r>
        <w:rPr>
          <w:rStyle w:val="FootnoteReference"/>
        </w:rPr>
        <w:footnoteRef/>
      </w:r>
      <w:r>
        <w:t xml:space="preserve"> </w:t>
      </w:r>
      <w:r>
        <w:fldChar w:fldCharType="begin"/>
      </w:r>
      <w:r>
        <w:instrText xml:space="preserve"> ADDIN ZOTERO_ITEM CSL_CITATION {"citationID":"3GBVC2Zt","properties":{"formattedCitation":"Nazarmanto Nazarmanto and Lidia Oktafia, \\uc0\\u8216{}KHASH\\uc0\\u194{}ISH TA\\uc0\\u8217{}L\\uc0\\u206{}M AL-LUGHAH AL-\\uc0\\u8216{}ARABIYYAH BI THARIQAH AL-QIR\\uc0\\u194{}AH AL-JAHRIYYAH BI MADRASAH AL-TS\\uc0\\u194{}NAWIYYAH PARADIGMA PALEMBANG\\uc0\\u8217{}, {\\i{}Taqdir}, 4.1 (2018), pp. 107\\uc0\\u8211{}22, doi:10.19109/taqdir.v4i1.2283.","plainCitation":"Nazarmanto Nazarmanto and Lidia Oktafia, ‘KHASHÂISH TA’LÎM AL-LUGHAH AL-‘ARABIYYAH BI THARIQAH AL-QIRÂAH AL-JAHRIYYAH BI MADRASAH AL-TSÂNAWIYYAH PARADIGMA PALEMBANG’, Taqdir, 4.1 (2018), pp. 107–22, doi:10.19109/taqdir.v4i1.2283.","noteIndex":7},"citationItems":[{"id":45,"uris":["http://zotero.org/users/15999145/items/IVN5X8AU"],"itemData":{"id":45,"type":"article-journal","abstract":"</w:instrText>
      </w:r>
      <w:r>
        <w:rPr>
          <w:rtl/>
        </w:rPr>
        <w:instrText>أما البحث فى هذه الرسالة تخلف من وجود خصائص التى تملك طريقة قراءة الجهرية. وتستخدم هذه طريقة فى المدرسة الثانوية فرادكما بالمبانج. ولتلك ترمز المشاكلة التالية :1 (كيف تطبيق</w:instrText>
      </w:r>
      <w:r>
        <w:instrText xml:space="preserve"> </w:instrText>
      </w:r>
      <w:r>
        <w:rPr>
          <w:rtl/>
        </w:rPr>
        <w:instrText>طريقة القراءة الجهرية</w:instrText>
      </w:r>
      <w:r>
        <w:instrText xml:space="preserve"> (Reading Aloud)  </w:instrText>
      </w:r>
      <w:r>
        <w:rPr>
          <w:rtl/>
        </w:rPr>
        <w:instrText>فى المدرسة الثانوية فرادكما بالمبانج؟. 2) ما عوامل التى يجب الإنتظار  تطبيق بطريقة القراءة الجهرية</w:instrText>
      </w:r>
      <w:r>
        <w:instrText xml:space="preserve"> (Reading Aloud)  </w:instrText>
      </w:r>
      <w:r>
        <w:rPr>
          <w:rtl/>
        </w:rPr>
        <w:instrText>فى المدرسة الثانوية  فرادكما بالمبانج.  بناء على البحث السابق، حاصل لهذا البحث ما يأتي: تطبيق طريقة</w:instrText>
      </w:r>
      <w:r>
        <w:instrText xml:space="preserve"> </w:instrText>
      </w:r>
      <w:r>
        <w:rPr>
          <w:rtl/>
        </w:rPr>
        <w:instrText>قراءة الجهرية فى المدرسة فرادكما بالمبانج هى: الأول؛ يقراء معلم المادة ثم يتبعها التلاميذ بتكرارا. الثانى؛ يأمر المعلم التلاميذ لقراءة نص اللغة العربية بصوت الجهرية بنفس. الثالث؛ يأمر المعلم الى التلاميذ ليمارسوا قراءة المادة اللغة العربية بالصوت الجهرية</w:instrText>
      </w:r>
      <w:r>
        <w:instrText xml:space="preserve">  </w:instrText>
      </w:r>
      <w:r>
        <w:rPr>
          <w:rtl/>
        </w:rPr>
        <w:instrText>أمام الفصل واحد فواحد. العوامل المهمة بطريقة القراءة الجهرية فى المدرسة الثانوية  فرادكما بالمبانج هى الأول؛ تنظم الفصل بإستعدادات. الثانى؛ يهتمُّ مقدار قراءة اللغة العربية من التلاميذ. الثالث؛ يهتم كيف طريقة الفهم من التلاميذ</w:instrText>
      </w:r>
      <w:r>
        <w:instrText>. \n</w:instrText>
      </w:r>
      <w:r>
        <w:rPr>
          <w:rtl/>
        </w:rPr>
        <w:instrText>الكلمات الأساسية : خصائص تعليم اللغة العربية، طريقة القراءة الجهرية</w:instrText>
      </w:r>
      <w:r>
        <w:instrText xml:space="preserve">","container-title":"Taqdir","DOI":"10.19109/taqdir.v4i1.2283","ISSN":"2621-1157, 2527-9807","issue":"1","journalAbbreviation":"taqdir","page":"107-122","source":"DOI.org (Crossref)","title":"KHASHÂISH TA’LÎM AL-LUGHAH AL-‘ARABIYYAH BI THARIQAH AL-QIRÂAH AL-JAHRIYYAH BI MADRASAH AL-TSÂNAWIYYAH PARADIGMA PALEMBANG","URL":"http://jurnal.radenfatah.ac.id/index.php/Taqdir/article/view/2283","volume":"4","author":[{"family":"Nazarmanto","given":"Nazarmanto"},{"family":"Oktafia","given":"Lidia"}],"accessed":{"date-parts":[["2024",12,15]]},"issued":{"date-parts":[["2018",6,29]]}}}],"schema":"https://github.com/citation-style-language/schema/raw/master/csl-citation.json"} </w:instrText>
      </w:r>
      <w:r>
        <w:fldChar w:fldCharType="separate"/>
      </w:r>
      <w:r w:rsidRPr="00635736">
        <w:rPr>
          <w:rFonts w:ascii="Calibri" w:hAnsi="Calibri" w:cs="Calibri"/>
          <w:szCs w:val="24"/>
        </w:rPr>
        <w:t xml:space="preserve">Nazarmanto Nazarmanto and Lidia Oktafia, ‘KHASHÂISH TA’LÎM AL-LUGHAH AL-‘ARABIYYAH BI THARIQAH AL-QIRÂAH AL-JAHRIYYAH BI MADRASAH AL-TSÂNAWIYYAH PARADIGMA PALEMBANG’, </w:t>
      </w:r>
      <w:r w:rsidRPr="00635736">
        <w:rPr>
          <w:rFonts w:ascii="Calibri" w:hAnsi="Calibri" w:cs="Calibri"/>
          <w:i/>
          <w:iCs/>
          <w:szCs w:val="24"/>
        </w:rPr>
        <w:t>Taqdir</w:t>
      </w:r>
      <w:r w:rsidRPr="00635736">
        <w:rPr>
          <w:rFonts w:ascii="Calibri" w:hAnsi="Calibri" w:cs="Calibri"/>
          <w:szCs w:val="24"/>
        </w:rPr>
        <w:t>, 4.1 (2018), pp. 107–22, doi:10.19109/taqdir.v4i1.2283.</w:t>
      </w:r>
      <w:r>
        <w:fldChar w:fldCharType="end"/>
      </w:r>
    </w:p>
  </w:footnote>
  <w:footnote w:id="8">
    <w:p w:rsidR="00635736" w:rsidRPr="00635736" w:rsidRDefault="00635736">
      <w:pPr>
        <w:pStyle w:val="FootnoteText"/>
        <w:rPr>
          <w:lang w:val="en-US"/>
        </w:rPr>
      </w:pPr>
      <w:r>
        <w:rPr>
          <w:rStyle w:val="FootnoteReference"/>
        </w:rPr>
        <w:footnoteRef/>
      </w:r>
      <w:r>
        <w:t xml:space="preserve"> </w:t>
      </w:r>
      <w:r>
        <w:fldChar w:fldCharType="begin"/>
      </w:r>
      <w:r>
        <w:instrText xml:space="preserve"> ADDIN ZOTERO_ITEM CSL_CITATION {"citationID":"Ysjs6Dks","properties":{"formattedCitation":"Nyayu Nadida Adlina Atthohiro and Kemas Muhammad, \\uc0\\u8216{}Pengembangan Media Pembelajaran Maharah Qiro\\uc0\\u8217{}ah Berbasis Edutainment Dengan Bantuan Website Socrative\\uc0\\u8217{}.","plainCitation":"Nyayu Nadida Adlina Atthohiro and Kemas Muhammad, ‘Pengembangan Media Pembelajaran Maharah Qiro’ah Berbasis Edutainment Dengan Bantuan Website Socrative’.","noteIndex":8},"citationItems":[{"id":144,"uris":["http://zotero.org/users/15999145/items/ARLP8TGC"],"itemData":{"id":144,"type":"article-journal","abstract":"Maharah Qira'ah learning often faces technical challenges, such as difficulties in vocabulary comprehension and text reading. This can be caused by a lack of innovation in the use of learning media and engaging approaches. This research aims to develop Maharah Qira'ah learning media based on Edutainment with the assistance of Socrative to create a more enjoyable and interactive learning experience, thereby increasing students' interest and reading skills. The research method used is the Research and Development (R&amp;D) model Borg and Gall, including needs analysis, planning, product development, expert validation, trial, and refinement. Through a student needs questionnaire with a percentage of 72.997%, it was stated that students needed the development of new media and approaches. The results of media expert validation showed a percentage of 90% (very feasible), and material expert validation showed a percentage of 91.42% (very feasible). This proves that the Socrative media developed with an Edutainment approach is very feasible to be used as Maharah Qira'ah learning media at SMA Muhammadiyah 6 Palembang. The implication of this research is the creation of innovative learning media that can enhance students' abilities and interest in Maharah Qira'ah learning.","language":"id","source":"Zotero","title":"Pengembangan Media Pembelajaran Maharah Qiro’ah Berbasis Edutainment Dengan Bantuan Website Socrative","author":[{"family":"Atthohiro","given":"Nyayu Nadida Adlina"},{"family":"Muhammad","given":"Kemas"}]}}],"schema":"https://github.com/citation-style-language/schema/raw/master/csl-citation.json"} </w:instrText>
      </w:r>
      <w:r>
        <w:fldChar w:fldCharType="separate"/>
      </w:r>
      <w:r w:rsidRPr="00635736">
        <w:rPr>
          <w:rFonts w:ascii="Calibri" w:hAnsi="Calibri" w:cs="Calibri"/>
          <w:szCs w:val="24"/>
        </w:rPr>
        <w:t>Nyayu Nadida Adlina Atthohiro and Kemas Muhammad, ‘Pengembangan Media Pembelajaran Maharah Qiro’ah Berbasis Edutainment Dengan Bantuan Website Socrative’.</w:t>
      </w:r>
      <w:r>
        <w:fldChar w:fldCharType="end"/>
      </w:r>
    </w:p>
  </w:footnote>
  <w:footnote w:id="9">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{"citationID":"Kz2T7wa5","properties":{"formattedCitation":"Kristina Imron and others, \\uc0\\u8216{}A New Direction of Arabic Language Teaching: Integration Muthala\\uc0\\u8217{}ah Text Book and Religious Moderation Concept\\uc0\\u8217{}, {\\i{}Al-Ta\\uc0\\u8217{}rib: Jurnal Ilmiah Program Studi Pendidikan Bahasa Arab IAIN Palangka Raya}, 12.1 (2024), pp. 69\\uc0\\u8211{}88 &lt;https://e-journal.iain-palangkaraya.ac.id/index.php/tarib/article/view/7779&gt;.","plainCitation":"Kristina Imron and others, ‘A New Direction of Arabic Language Teaching: Integration Muthala’ah Text Book and Religious Moderation Concept’, Al-Ta’rib: Jurnal Ilmiah Program Studi Pendidikan Bahasa Arab IAIN Palangka Raya, 12.1 (2024), pp. 69–88 &lt;https://e-journal.iain-palangkaraya.ac.id/index.php/tarib/article/view/7779&gt;.","noteIndex":3},"citationItems":[{"id":114,"uris":["http://zotero.org/users/15999145/items/6IHJI5EX"],"itemData":{"id":114,"type":"article-journal","container-title":"Al-Ta'rib: Jurnal Ilmiah Program Studi Pendidikan Bahasa Arab IAIN Palangka Raya","issue":"1","page":"69–88","source":"Google Scholar","title":"A New Direction of Arabic Language Teaching: Integration Muthala’ah Text Book and Religious Moderation Concept","title-short":"A New Direction of Arabic Language Teaching","URL":"https://e-journal.iain-palangkaraya.ac.id/index.php/tarib/article/view/7779","volume":"12","author":[{"family":"Imron","given":"Kristina"},{"family":"Abdullah","given":"Muhammad Yahya"},{"family":"Nurani","given":"Qoim"},{"family":"Rohayati","given":"Enok"},{"family":"Jamanuddin","given":"Jamanuddin"}],"accessed":{"date-parts":[["2024",12,16]]},"issued":{"date-parts":[["2024"]]}}}],"schema":"https://github.com/citation-style-language/schema/raw/master/csl-citation.json"} </w:instrText>
      </w:r>
      <w:r>
        <w:fldChar w:fldCharType="separate"/>
      </w:r>
      <w:r w:rsidRPr="0043467A">
        <w:rPr>
          <w:rFonts w:ascii="Calibri" w:hAnsi="Calibri" w:cs="Calibri"/>
          <w:szCs w:val="24"/>
        </w:rPr>
        <w:t xml:space="preserve">Kristina Imron and others, ‘A New Direction of Arabic Language Teaching: Integration Muthala’ah Text Book and Religious Moderation Concept’, </w:t>
      </w:r>
      <w:r w:rsidRPr="0043467A">
        <w:rPr>
          <w:rFonts w:ascii="Calibri" w:hAnsi="Calibri" w:cs="Calibri"/>
          <w:i/>
          <w:iCs/>
          <w:szCs w:val="24"/>
        </w:rPr>
        <w:t>Al-Ta’rib: Jurnal Ilmiah Program Studi Pendidikan Bahasa Arab IAIN Palangka Raya</w:t>
      </w:r>
      <w:r w:rsidRPr="0043467A">
        <w:rPr>
          <w:rFonts w:ascii="Calibri" w:hAnsi="Calibri" w:cs="Calibri"/>
          <w:szCs w:val="24"/>
        </w:rPr>
        <w:t>, 12.1 (2024), pp. 69–88 &lt;https://e-journal.iain-palangkaraya.ac.id/index.php/tarib/article/view/7779&gt;.</w:t>
      </w:r>
      <w:r>
        <w:fldChar w:fldCharType="end"/>
      </w:r>
    </w:p>
  </w:footnote>
  <w:footnote w:id="10">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{"citationID":"VmSQuTjc","properties":{"formattedCitation":"Nurul Hidayah, Mukmin Mukmin, and Monika Rahma, \\uc0\\u8216{}Kecerdasan Dan Kepribadian Siswa Di SMP IT Fathona Palembang Dan Pengaruhnya Terhadap Kemampuan Berbicara\\uc0\\u8217{}, {\\i{}Taqdir}, 7.1 (2021), pp. 115\\uc0\\u8211{}30, doi:10.19109/taqdir.v7i1.8455.","plainCitation":"Nurul Hidayah, Mukmin Mukmin, and Monika Rahma, ‘Kecerdasan Dan Kepribadian Siswa Di SMP IT Fathona Palembang Dan Pengaruhnya Terhadap Kemampuan Berbicara’, Taqdir, 7.1 (2021), pp. 115–30, doi:10.19109/taqdir.v7i1.8455.","noteIndex":4},"citationItems":[{"id":1,"uris":["http://zotero.org/users/15999145/items/E324G23J"],"itemData":{"id":1,"type":"article-journal","abstract":"Kemampuan berbicara setidaknya dipengaruhi oleh beberapa faktor diantaranya adalah kecerdasan dan kepribadian. SMP IT fathonah telah menggunakan test stifin dalam mengetahui kecerdasan dan kepribadian siswa, hasil test tersebut kemudian tidak hanya dioptimalkan dalam pembelajaran tapi juga dalam program 3 Lingual dan lingkungan berbahasa Arab. Penelitian ini menggunakan Metode Mixed Method. Dengan pendekatan kualitatif dan kuantitatif. Sampel dalam penelitian ini adalah sampel purposive dengan jumlah 30 siswa. Teknik analisa data dalam penelitian ini menggunakan rumus uji Two Way Anova dengan SPSS. Hasil dari penelitian ini menunjukkan bahwa kecerdasan mempengaruhi kemampuan berbicara siswa dengan taraf signifikansi sebesar 0,003. Sedangkan kepribadian tidak mempengaruhi kemampuan berbicara siswa karena memiliki signifikansi 0,548. Namun kedua variable secara bersama-sama mempengaruhi Keterampilan berbicara siswa sebanyak 65,4 %. Dari data tersebut dapat dinyatakan bahwasanya kepribadian dari seorang siswa tidak dapat dinyatakan mempengaruhi secara signifikan karena kepribadian dapat terpengaruh oleh factor lain misal oleh motivasi, ataupun unsur psikologis lain, sedangkan kecerdasan ternyata dapat mempengaruhi keterampilan berbicara secara signifikan karena kecerdasan tentunya dapat menopang tumbuh kembang keterampilan yang dipelajari siswa.","container-title":"Taqdir","DOI":"10.19109/taqdir.v7i1.8455","ISSN":"2621-1157, 2527-9807","issue":"1","journalAbbreviation":"taqdir","page":"115-130","source":"DOI.org (Crossref)","title":"Kecerdasan Dan Kepribadian Siswa di SMP IT Fathona Palembang Dan Pengaruhnya Terhadap Kemampuan Berbicara","URL":"http://jurnal.radenfatah.ac.id/index.php/Taqdir/article/view/8455","volume":"7","author":[{"family":"Hidayah","given":"Nurul"},{"family":"Mukmin","given":"Mukmin"},{"family":"Rahma","given":"Monika"}],"accessed":{"date-parts":[["2024",12,15]]},"issued":{"date-parts":[["2021",6,28]]}}}],"schema":"https://github.com/citation-style-language/schema/raw/master/csl-citation.json"} </w:instrText>
      </w:r>
      <w:r>
        <w:fldChar w:fldCharType="separate"/>
      </w:r>
      <w:r w:rsidRPr="0043467A">
        <w:rPr>
          <w:rFonts w:ascii="Calibri" w:hAnsi="Calibri" w:cs="Calibri"/>
          <w:szCs w:val="24"/>
        </w:rPr>
        <w:t xml:space="preserve">Nurul Hidayah, Mukmin Mukmin, and Monika Rahma, ‘Kecerdasan Dan Kepribadian Siswa Di SMP IT Fathona Palembang Dan Pengaruhnya Terhadap Kemampuan Berbicara’, </w:t>
      </w:r>
      <w:r w:rsidRPr="0043467A">
        <w:rPr>
          <w:rFonts w:ascii="Calibri" w:hAnsi="Calibri" w:cs="Calibri"/>
          <w:i/>
          <w:iCs/>
          <w:szCs w:val="24"/>
        </w:rPr>
        <w:t>Taqdir</w:t>
      </w:r>
      <w:r w:rsidRPr="0043467A">
        <w:rPr>
          <w:rFonts w:ascii="Calibri" w:hAnsi="Calibri" w:cs="Calibri"/>
          <w:szCs w:val="24"/>
        </w:rPr>
        <w:t>, 7.1 (2021), pp. 115–30, doi:10.19109/taqdir.v7i1.8455.</w:t>
      </w:r>
      <w:r>
        <w:fldChar w:fldCharType="end"/>
      </w:r>
    </w:p>
  </w:footnote>
  <w:footnote w:id="11">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{"citationID":"nMYGGkgP","properties":{"formattedCitation":"Irmansyah Irmansyah and Lusia Pratiwi, \\uc0\\u8216{}Model Pembelajaran Seven Power Key Dalam Pembelajaran Bahasa Arab Di SMP IT Fathonah Palembang\\uc0\\u8217{}, {\\i{}Jurnal Al-Mashadir: Journal of Arabic Education and Literature}, 1.1 (2021), pp. 30\\uc0\\u8211{}46 &lt;https://ejournal.iain-manado.ac.id/index.php/almashadir/article/view/85&gt;.","plainCitation":"Irmansyah Irmansyah and Lusia Pratiwi, ‘Model Pembelajaran Seven Power Key Dalam Pembelajaran Bahasa Arab Di SMP IT Fathonah Palembang’, Jurnal Al-Mashadir: Journal of Arabic Education and Literature, 1.1 (2021), pp. 30–46 &lt;https://ejournal.iain-manado.ac.id/index.php/almashadir/article/view/85&gt;.","noteIndex":5},"citationItems":[{"id":93,"uris":["http://zotero.org/users/15999145/items/JY5TVQZU"],"itemData":{"id":93,"type":"article-journal","container-title":"Jurnal Al-Mashadir: Journal of Arabic Education and Literature","issue":"1","page":"30–46","source":"Google Scholar","title":"Model Pembelajaran Seven Power Key dalam Pembelajaran Bahasa Arab di SMP IT Fathonah Palembang","URL":"https://ejournal.iain-manado.ac.id/index.php/almashadir/article/view/85","volume":"1","author":[{"family":"Irmansyah","given":"Irmansyah"},{"family":"Pratiwi","given":"Lusia"}],"accessed":{"date-parts":[["2024",12,15]]},"issued":{"date-parts":[["2021"]]}}}],"schema":"https://github.com/citation-style-language/schema/raw/master/csl-citation.json"} </w:instrText>
      </w:r>
      <w:r>
        <w:fldChar w:fldCharType="separate"/>
      </w:r>
      <w:r w:rsidRPr="0043467A">
        <w:rPr>
          <w:rFonts w:ascii="Calibri" w:hAnsi="Calibri" w:cs="Calibri"/>
          <w:szCs w:val="24"/>
        </w:rPr>
        <w:t xml:space="preserve">Irmansyah Irmansyah and Lusia Pratiwi, ‘Model Pembelajaran Seven Power Key Dalam Pembelajaran Bahasa Arab Di SMP IT Fathonah Palembang’, </w:t>
      </w:r>
      <w:r w:rsidRPr="0043467A">
        <w:rPr>
          <w:rFonts w:ascii="Calibri" w:hAnsi="Calibri" w:cs="Calibri"/>
          <w:i/>
          <w:iCs/>
          <w:szCs w:val="24"/>
        </w:rPr>
        <w:t>Jurnal Al-Mashadir: Journal of Arabic Education and Literature</w:t>
      </w:r>
      <w:r w:rsidRPr="0043467A">
        <w:rPr>
          <w:rFonts w:ascii="Calibri" w:hAnsi="Calibri" w:cs="Calibri"/>
          <w:szCs w:val="24"/>
        </w:rPr>
        <w:t>, 1.1 (2021), pp. 30–46 &lt;https://ejournal.iain-manado.ac.id/index.php/almashadir/article/view/85&gt;.</w:t>
      </w:r>
      <w:r>
        <w:fldChar w:fldCharType="end"/>
      </w:r>
    </w:p>
  </w:footnote>
  <w:footnote w:id="12">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{"citationID":"uXlEsohJ","properties":{"formattedCitation":"Irmansyah Irmansyah, Muhammad Alfath Qaaf, and Yuslina Yuslina, \\uc0\\u8216{}PENGEMBANGAN MEDIA PEMBELAJARAN BAHASA ARAB MENGGUNAKAN APLIKASI CANVA BERBASIS SAVI (SOMATIS, AUDITORI, VISUAL DAN IN\\uc0\\u8481{}EKTUAL)\\uc0\\u8217{}, {\\i{}Jurnal Al-Mashadir: Journal of Arabic Education and Literature}, 3.01 (2023), pp. 69\\uc0\\u8211{}86 &lt;https://ejournal.iain-manado.ac.id/index.php/almashadir/article/view/610&gt;.","plainCitation":"Irmansyah Irmansyah, Muhammad Alfath Qaaf, and Yuslina Yuslina, ‘PENGEMBANGAN MEDIA PEMBELAJARAN BAHASA ARAB MENGGUNAKAN APLIKASI CANVA BERBASIS SAVI (SOMATIS, AUDITORI, VISUAL DAN IN</w:instrText>
      </w:r>
      <w:r>
        <w:rPr>
          <w:rFonts w:ascii="Cambria Math" w:hAnsi="Cambria Math" w:cs="Cambria Math"/>
        </w:rPr>
        <w:instrText>℡</w:instrText>
      </w:r>
      <w:r>
        <w:instrText>EKTUAL)</w:instrText>
      </w:r>
      <w:r>
        <w:rPr>
          <w:rFonts w:ascii="Calibri" w:hAnsi="Calibri" w:cs="Calibri"/>
        </w:rPr>
        <w:instrText>’</w:instrText>
      </w:r>
      <w:r>
        <w:instrText>, Jurnal Al-Mashadir: Journal of Arabic Education and Literature, 3.01 (2023), pp. 69</w:instrText>
      </w:r>
      <w:r>
        <w:rPr>
          <w:rFonts w:ascii="Calibri" w:hAnsi="Calibri" w:cs="Calibri"/>
        </w:rPr>
        <w:instrText>–</w:instrText>
      </w:r>
      <w:r>
        <w:instrText>86 &lt;https://ejournal.iain-manado.ac.id/index.php/almashadir/article/view/610&gt;.","noteIndex":6},"citationItems":[{"id":90,"uris":["http://zotero.org/users/15999145/items/8PM8KL55"],"itemData":{"id":90,"type":"article-journal","container-title":"Jurnal Al-Mashadir: Journal of Arabic Education and Literature","issue":"01","page":"69–86","source":"Google Scholar","title":"PENGEMBANGAN MEDIA PEMBELAJARAN BAHASA ARAB MENGGUNAKAN APLIKASI CANVA BERBASIS SAVI (SOMATIS, AUDITORI, VISUAL DAN IN</w:instrText>
      </w:r>
      <w:r>
        <w:rPr>
          <w:rFonts w:ascii="Cambria Math" w:hAnsi="Cambria Math" w:cs="Cambria Math"/>
        </w:rPr>
        <w:instrText>℡</w:instrText>
      </w:r>
      <w:r>
        <w:instrText xml:space="preserve">EKTUAL)","URL":"https://ejournal.iain-manado.ac.id/index.php/almashadir/article/view/610","volume":"3","author":[{"family":"Irmansyah","given":"Irmansyah"},{"family":"Qaaf","given":"Muhammad Alfath"},{"family":"Yuslina","given":"Yuslina"}],"accessed":{"date-parts":[["2024",12,15]]},"issued":{"date-parts":[["2023"]]}}}],"schema":"https://github.com/citation-style-language/schema/raw/master/csl-citation.json"} </w:instrText>
      </w:r>
      <w:r>
        <w:fldChar w:fldCharType="separate"/>
      </w:r>
      <w:r w:rsidRPr="0043467A">
        <w:rPr>
          <w:rFonts w:ascii="Calibri" w:hAnsi="Calibri" w:cs="Calibri"/>
          <w:szCs w:val="24"/>
        </w:rPr>
        <w:t xml:space="preserve">Irmansyah Irmansyah, Muhammad Alfath Qaaf, and Yuslina Yuslina, ‘PENGEMBANGAN MEDIA PEMBELAJARAN BAHASA ARAB MENGGUNAKAN APLIKASI CANVA BERBASIS SAVI (SOMATIS, AUDITORI, VISUAL DAN IN℡EKTUAL)’, </w:t>
      </w:r>
      <w:r w:rsidRPr="0043467A">
        <w:rPr>
          <w:rFonts w:ascii="Calibri" w:hAnsi="Calibri" w:cs="Calibri"/>
          <w:i/>
          <w:iCs/>
          <w:szCs w:val="24"/>
        </w:rPr>
        <w:t>Jurnal Al-Mashadir: Journal of Arabic Education and Literature</w:t>
      </w:r>
      <w:r w:rsidRPr="0043467A">
        <w:rPr>
          <w:rFonts w:ascii="Calibri" w:hAnsi="Calibri" w:cs="Calibri"/>
          <w:szCs w:val="24"/>
        </w:rPr>
        <w:t>, 3.01 (2023), pp. 69–86 &lt;https://ejournal.iain-manado.ac.id/index.php/almashadir/article/view/610&gt;.</w:t>
      </w:r>
      <w:r>
        <w:fldChar w:fldCharType="end"/>
      </w:r>
    </w:p>
  </w:footnote>
  <w:footnote w:id="13">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{"citationID":"7kz4p1QY","properties":{"formattedCitation":"Jamanuddin Jamanuddin and Sandra Kumbara, \\uc0\\u8216{}TAQW\\uc0\\u206{}M TA\\uc0\\u8217{}L\\uc0\\u206{}M MAH\\uc0\\u194{}RAH AL-QIR\\uc0\\u194{}AH F\\uc0\\u206{} AL-MADRASAH AL-TS\\uc0\\u194{}NAWIYYAH BI MA\\uc0\\u8217{}HAD MUQIMUSSUNNAH PALEMBANG\\uc0\\u8217{}, {\\i{}Taqdir}, 2.1 (2016) &lt;https://jurnal.radenfatah.ac.id/index.php/Taqdir/article/view/1698&gt;.","plainCitation":"Jamanuddin Jamanuddin and Sandra Kumbara, ‘TAQWÎM TA’LÎM MAHÂRAH AL-QIRÂAH FÎ AL-MADRASAH AL-TSÂNAWIYYAH BI MA’HAD MUQIMUSSUNNAH PALEMBANG’, Taqdir, 2.1 (2016) &lt;https://jurnal.radenfatah.ac.id/index.php/Taqdir/article/view/1698&gt;.","noteIndex":7},"citationItems":[{"id":55,"uris":["http://zotero.org/users/15999145/items/KK8RF2X2"],"itemData":{"id":55,"type":"article-journal","abstract":"</w:instrText>
      </w:r>
      <w:r>
        <w:rPr>
          <w:rtl/>
        </w:rPr>
        <w:instrText>كانت مهارة القراءة هي مهارة من المهارات اللغة العربية الأربعة. لذلك يجب على مدرّس اللغة العربية لتقويم التعليم في مهارة القراءة. وهذا البحث يبين أن (١) خطط المعلم الأهداف التعليمية ثم اختار طريقة والوسائل لتعليم مهارة القراءة وصنع أدوات التقييم (٢) عملية تعليم مهارة القراءة بالمدرسة الثانوية بمعهد مقيم السنّة هو بطريقة المباشرة وطريقة القواعد والترجمة (3) عملية تقييم لمادة القراءة يتكون من الاختبار الشفوي والاختبار التحريري</w:instrText>
      </w:r>
      <w:r>
        <w:instrText xml:space="preserve">.\nKemahiran membaca adalah salah satu dari kemahiran berbahasa arab yang penting untuk dipelajari. Oleh karena itu wajib bagi para guru untuk mengevaluasi pembelajaran ini. Dan penelitian ini menunjukkan bahwa (1) dalam pembelajaran guru telah merencanakan tujuan pembelajaran qiroah kemudian memilih metode dan media dalam pembelajaran dan membuat alat evaluasi (2) proses pembelajaran qiroah menggunakan metode&amp;nbsp; langsung dan metode qowaid dan tarjamah (3) adapun proses evaluasi terdiri dari dua bentuk yaitu tes lisan dan tes tulisan&amp;nbsp;","container-title":"Taqdir","ISSN":"2621-1157","issue":"1","language":"id","license":"Copyright (c) 2018 Taqdir","note":"number: 1","source":"jurnal.radenfatah.ac.id","title":"TAQWÎM TA’LÎM MAHÂRAH AL-QIRÂAH FÎ AL-MADRASAH AL-TSÂNAWIYYAH BI MA’HAD MUQIMUSSUNNAH PALEMBANG","URL":"https://jurnal.radenfatah.ac.id/index.php/Taqdir/article/view/1698","volume":"2","author":[{"family":"Jamanuddin","given":"Jamanuddin"},{"family":"Kumbara","given":"Sandra"}],"accessed":{"date-parts":[["2024",12,15]]},"issued":{"date-parts":[["2016"]]}}}],"schema":"https://github.com/citation-style-language/schema/raw/master/csl-citation.json"} </w:instrText>
      </w:r>
      <w:r>
        <w:fldChar w:fldCharType="separate"/>
      </w:r>
      <w:r w:rsidRPr="0043467A">
        <w:rPr>
          <w:rFonts w:ascii="Calibri" w:hAnsi="Calibri" w:cs="Calibri"/>
          <w:szCs w:val="24"/>
        </w:rPr>
        <w:t xml:space="preserve">Jamanuddin Jamanuddin and Sandra Kumbara, ‘TAQWÎM TA’LÎM MAHÂRAH AL-QIRÂAH FÎ AL-MADRASAH AL-TSÂNAWIYYAH BI MA’HAD MUQIMUSSUNNAH PALEMBANG’, </w:t>
      </w:r>
      <w:r w:rsidRPr="0043467A">
        <w:rPr>
          <w:rFonts w:ascii="Calibri" w:hAnsi="Calibri" w:cs="Calibri"/>
          <w:i/>
          <w:iCs/>
          <w:szCs w:val="24"/>
        </w:rPr>
        <w:t>Taqdir</w:t>
      </w:r>
      <w:r w:rsidRPr="0043467A">
        <w:rPr>
          <w:rFonts w:ascii="Calibri" w:hAnsi="Calibri" w:cs="Calibri"/>
          <w:szCs w:val="24"/>
        </w:rPr>
        <w:t>, 2.1 (2016) &lt;https://jurnal.radenfatah.ac.id/index.php/Taqdir/article/view/1698&gt;.</w:t>
      </w:r>
      <w:r>
        <w:fldChar w:fldCharType="end"/>
      </w:r>
    </w:p>
  </w:footnote>
  <w:footnote w:id="14">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{"citationID":"rWMP8BXO","properties":{"formattedCitation":"kemas muhammad, \\uc0\\u8216{}Ta\\uc0\\u8217{}l\\uc0\\u299{}m as-Sharf Bi Kit\\uc0\\u226{}b Tash\\uc0\\u299{}l as-Sharfiyyah Fil-Madrasah Ats-Ts\\uc0\\u226{}nawiyyah Ittifaqiyyah | Taqdir\\uc0\\u8217{}, 2020 &lt;https://jurnal.radenfatah.ac.id/index.php/Taqdir/article/view/5893&gt;.","plainCitation":"kemas muhammad, ‘Ta’līm as-Sharf Bi Kitâb Tashīl as-Sharfiyyah Fil-Madrasah Ats-Tsânawiyyah Ittifaqiyyah | Taqdir’, 2020 &lt;https://jurnal.radenfatah.ac.id/index.php/Taqdir/article/view/5893&gt;.","noteIndex":8},"citationItems":[{"id":10,"uris":["http://zotero.org/users/15999145/items/DB2KIZKJ"],"itemData":{"id":10,"type":"webpage","title":"Ta’līm as-Sharf bi Kitâb Tashīl as-Sharfiyyah fil-Madrasah ats-Tsânawiyyah Ittifaqiyyah | Taqdir","URL":"https://jurnal.radenfatah.ac.id/index.php/Taqdir/article/view/5893","author":[{"family":"muhammad","given":"kemas"}],"accessed":{"date-parts":[["2024",12,15]]},"issued":{"date-parts":[["2020"]]}}}],"schema":"https://github.com/citation-style-language/schema/raw/master/csl-citation.json"} </w:instrText>
      </w:r>
      <w:r>
        <w:fldChar w:fldCharType="separate"/>
      </w:r>
      <w:r w:rsidRPr="0043467A">
        <w:rPr>
          <w:rFonts w:ascii="Calibri" w:hAnsi="Calibri" w:cs="Calibri"/>
          <w:szCs w:val="24"/>
        </w:rPr>
        <w:t>kemas muhammad, ‘Ta’līm as-Sharf Bi Kitâb Tashīl as-Sharfiyyah Fil-Madrasah Ats-Tsânawiyyah Ittifaqiyyah | Taqdir’, 2020 &lt;https://jurnal.radenfatah.ac.id/index.php/Taqdir/article/view/5893&gt;.</w:t>
      </w:r>
      <w:r>
        <w:fldChar w:fldCharType="end"/>
      </w:r>
    </w:p>
  </w:footnote>
  <w:footnote w:id="15">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{"citationID":"KZzkJh5T","properties":{"formattedCitation":"Nurul Hidayah, \\uc0\\u8216{}AL-ITTIJ\\uc0\\u194{}H\\uc0\\u194{}T AL-HAD\\uc0\\u206{}TSAH F\\uc0\\u206{} TA\\uc0\\u8217{}L\\uc0\\u206{}M AL-LUGHAH AL-\\uc0\\u8216{}ARABIYYAH BI AL-MA\\uc0\\u8217{}HAD AS-SALAFI (DIR\\uc0\\u194{}SAH AL-H\\uc0\\u194{}LAH BIMADRASAH AL-MU\\uc0\\u8217{}ALLIM\\uc0\\u206{}N WA AL-MU\\uc0\\u8217{}ALLIM\\uc0\\u194{}T SABILUL HASANAH BANYUASIN)\\uc0\\u8217{}, {\\i{}Taqdir}, 1.1 (2015), pp. 128\\uc0\\u8211{}54 &lt;https://jurnal.radenfatah.ac.id/index.php/Taqdir/article/view/653&gt;.","plainCitation":"Nurul Hidayah, ‘AL-ITTIJÂHÂT AL-HADÎTSAH FÎ TA’LÎM AL-LUGHAH AL-‘ARABIYYAH BI AL-MA’HAD AS-SALAFI (DIRÂSAH AL-HÂLAH BIMADRASAH AL-MU’ALLIMÎN WA AL-MU’ALLIMÂT SABILUL HASANAH BANYUASIN)’, Taqdir, 1.1 (2015), pp. 128–54 &lt;https://jurnal.radenfatah.ac.id/index.php/Taqdir/article/view/653&gt;.","noteIndex":9},"citationItems":[{"id":4,"uris":["http://zotero.org/users/15999145/items/HDEZ3EBV"],"itemData":{"id":4,"type":"article-journal","abstract":"</w:instrText>
      </w:r>
      <w:r>
        <w:rPr>
          <w:rtl/>
        </w:rPr>
        <w:instrText>لم يتجه المعاهد السلفية المعاصرة دراسته إلى الاتجاهات الحديثة فى تعليم اللغة العربية. أما مدرسة المعلمين و المعلمات في معهد سبيل الحسنة تحاول أن توسع تعليم اللغة العربية إلى المهارات الأخرى وهي مهارة الاستماع والكلام</w:instrText>
      </w:r>
      <w:r>
        <w:instrText xml:space="preserve"> </w:instrText>
      </w:r>
      <w:r>
        <w:rPr>
          <w:rtl/>
        </w:rPr>
        <w:instrText>والكتابة، ولا تقتصر في مهارة القراءة فحسب. والبحث الذى تقوم به الباحثة من نوع البحث الوصفي بالمدخل الكيفي. إن الاتجاهات الحديثة فى تعليم اللغة العربية بمدرسة المعلمين و المعلمات تتمثل من ناحيتين وهي طرق التدريس والمواد التعليمية. قدمت هذه المدرسة المواد</w:instrText>
      </w:r>
      <w:r>
        <w:instrText xml:space="preserve"> </w:instrText>
      </w:r>
      <w:r>
        <w:rPr>
          <w:rtl/>
        </w:rPr>
        <w:instrText>التعليمية الشاملة فى تعليم اللغة العربية، لا تهتم إلى المواد لمهارة القراءة فحسب بل تتوسع إلى المهارات الآخرى وهي المهارة الاستماع ومهارة الكلام ومهارة الكتابة، أما المواد التعليمية التى قدمت المدرسة إلى الطلاب فهي النحو والصرف والتمرين والمطالعة والإنشاء</w:instrText>
      </w:r>
      <w:r>
        <w:instrText xml:space="preserve"> </w:instrText>
      </w:r>
      <w:r>
        <w:rPr>
          <w:rtl/>
        </w:rPr>
        <w:instrText>والتهجى والإملاء والمنطق والبلاغة والعروض والمحادثة وإصلاح اللغة. وليعلم هذه المواد، اختار المعلمون الطرق المناسبة بالمواد التعليمية، يسهل الطرق الطلاب لفهم الدرس، والطرق التعليمية التي يستخدمها المدرسة عند التعليم فهي طريقة القواعد والترجمة وطريقة القراءة وطريقة المباشرة وطريقة السمعية الشفوية</w:instrText>
      </w:r>
      <w:r>
        <w:instrText xml:space="preserve">.\nBanyak Pondok Pesantren Salaf belum melaksanakan pembelajaran Bahasa Arab dengan metode yang modern. Pondok Pesantren Sabilul Hasanah sudah memulai untuk memperluas pembelajaran Bahasa Arab kepada keterampilan lain yaitu Ketrampilan mendengar, keterampilan berbicara, dan keterampilan menulis. Karena pembelajaran bahasa Arab disini tidak hanya terfokus kepada keterampilan memebaca saja. Penelitian yang dilakukan oleh penulis adalah penelitian kualitatif lapangan. Arah pembelajara Bahasa Arab secara modern di Pondok Pesantren Sabilul Hasanah terlihat dari dua hal yaitu metode pembelajaran dan materi pembelajaran. Pondok Pesantren ini memberikan materi pembelajaran Bahasa Arab secara menyeluruh, tidak terfokus hanya di keterampilan membaca saja tetapi mencakupi tiga keterampilan berbahasa lainnya. Materi pembelajran yang di ajarkan di pondok pesantren Sabilul Hasanah adalah Nahwu, Shorf, At- Tamriin, Muthola’ah, Insya’, Imla’, Ilmu Mantiq, Balaghoh, Muhadatsah dan Lain- lain. Untuk memberikan pemahaman yang maksimal kepada siswa, guru mengajarkan materi- materi tersebut dengan beberapa metode pembelajaran yang sesuai, diantaranya adalah metode Qowa’id dan Tarjamah, Metode Qira’ah, metode langsung, dan lain- lain.","container-title":"Taqdir","ISSN":"2621-1157","issue":"1","language":"en","license":"Copyright (c) 2016 Taqdir","note":"number: 1","page":"128-154","source":"jurnal.radenfatah.ac.id","title":"AL-ITTIJÂHÂT AL-HADÎTSAH FÎ TA’LÎM AL-LUGHAH AL-‘ARABIYYAH BI AL-MA’HAD AS-SALAFI (DIRÂSAH AL-HÂLAH BIMADRASAH AL-MU’ALLIMÎN WA AL-MU’ALLIMÂT SABILUL HASANAH BANYUASIN)","URL":"https://jurnal.radenfatah.ac.id/index.php/Taqdir/article/view/653","volume":"1","author":[{"family":"Hidayah","given":"Nurul"}],"accessed":{"date-parts":[["2024",12,15]]},"issued":{"date-parts":[["2015"]]}}}],"schema":"https://github.com/citation-style-language/schema/raw/master/csl-citation.json"} </w:instrText>
      </w:r>
      <w:r>
        <w:fldChar w:fldCharType="separate"/>
      </w:r>
      <w:r w:rsidRPr="0043467A">
        <w:rPr>
          <w:rFonts w:ascii="Calibri" w:hAnsi="Calibri" w:cs="Calibri"/>
          <w:szCs w:val="24"/>
        </w:rPr>
        <w:t xml:space="preserve">Nurul Hidayah, ‘AL-ITTIJÂHÂT AL-HADÎTSAH FÎ TA’LÎM AL-LUGHAH AL-‘ARABIYYAH BI AL-MA’HAD AS-SALAFI (DIRÂSAH AL-HÂLAH BIMADRASAH AL-MU’ALLIMÎN WA AL-MU’ALLIMÂT SABILUL HASANAH BANYUASIN)’, </w:t>
      </w:r>
      <w:r w:rsidRPr="0043467A">
        <w:rPr>
          <w:rFonts w:ascii="Calibri" w:hAnsi="Calibri" w:cs="Calibri"/>
          <w:i/>
          <w:iCs/>
          <w:szCs w:val="24"/>
        </w:rPr>
        <w:t>Taqdir</w:t>
      </w:r>
      <w:r w:rsidRPr="0043467A">
        <w:rPr>
          <w:rFonts w:ascii="Calibri" w:hAnsi="Calibri" w:cs="Calibri"/>
          <w:szCs w:val="24"/>
        </w:rPr>
        <w:t>, 1.1 (2015), pp. 128–54 &lt;https://jurnal.radenfatah.ac.id/index.php/Taqdir/article/view/653&gt;.</w:t>
      </w:r>
      <w:r>
        <w:fldChar w:fldCharType="end"/>
      </w:r>
    </w:p>
  </w:footnote>
  <w:footnote w:id="16">
    <w:p w:rsidR="0043467A" w:rsidRPr="0043467A" w:rsidRDefault="0043467A">
      <w:pPr>
        <w:pStyle w:val="FootnoteText"/>
        <w:rPr>
          <w:lang w:val="en-US"/>
        </w:rPr>
      </w:pPr>
      <w:r>
        <w:rPr>
          <w:rStyle w:val="FootnoteReference"/>
        </w:rPr>
        <w:footnoteRef/>
      </w:r>
      <w:r>
        <w:t xml:space="preserve"> </w:t>
      </w:r>
      <w:r>
        <w:fldChar w:fldCharType="begin"/>
      </w:r>
      <w:r>
        <w:instrText xml:space="preserve"> ADDIN ZOTERO_ITEM CSL_CITATION {"citationID":"Jh5QPVqX","properties":{"formattedCitation":"kemas muhammad and nurwa purnama, \\uc0\\u8216{}Pengembangan Bahan Ajar Maharah Kalam Berbasis Quantum Learning Menggunakan Media Flip Book Di Mi Al Ishlah Palembang\\uc0\\u8217{}, {\\i{}Arabic Teaching and Learning International Conference (ATALIC)}, 1 (2025), pp. 27\\uc0\\u8211{}46.","plainCitation":"kemas muhammad and nurwa purnama, ‘Pengembangan Bahan Ajar Maharah Kalam Berbasis Quantum Learning Menggunakan Media Flip Book Di Mi Al Ishlah Palembang’, Arabic Teaching and Learning International Conference (ATALIC), 1 (2025), pp. 27–46.","noteIndex":10},"citationItems":[{"id":141,"uris":["http://zotero.org/users/15999145/items/YP6FWKIQ"],"itemData":{"id":141,"type":"article-journal","container-title":"Arabic Teaching and Learning International Conference (ATALIC)","journalAbbreviation":"ATALIC","page":"27-46","title":"Pengembangan Bahan Ajar Maharah Kalam Berbasis Quantum Learning menggunakan Media Flip Book di Mi Al Ishlah Palembang","volume":"1","author":[{"family":"muhammad","given":"kemas"},{"family":"purnama","given":"nurwa"}],"issued":{"date-parts":[["2025",2,1]]}}}],"schema":"https://github.com/citation-style-language/schema/raw/master/csl-citation.json"} </w:instrText>
      </w:r>
      <w:r>
        <w:fldChar w:fldCharType="separate"/>
      </w:r>
      <w:r w:rsidRPr="0043467A">
        <w:rPr>
          <w:rFonts w:ascii="Calibri" w:hAnsi="Calibri" w:cs="Calibri"/>
          <w:szCs w:val="24"/>
        </w:rPr>
        <w:t xml:space="preserve">kemas muhammad and nurwa purnama, ‘Pengembangan Bahan Ajar Maharah Kalam Berbasis Quantum Learning Menggunakan Media Flip Book Di Mi Al Ishlah Palembang’, </w:t>
      </w:r>
      <w:r w:rsidRPr="0043467A">
        <w:rPr>
          <w:rFonts w:ascii="Calibri" w:hAnsi="Calibri" w:cs="Calibri"/>
          <w:i/>
          <w:iCs/>
          <w:szCs w:val="24"/>
        </w:rPr>
        <w:t>Arabic Teaching and Learning International Conference (ATALIC)</w:t>
      </w:r>
      <w:r w:rsidRPr="0043467A">
        <w:rPr>
          <w:rFonts w:ascii="Calibri" w:hAnsi="Calibri" w:cs="Calibri"/>
          <w:szCs w:val="24"/>
        </w:rPr>
        <w:t>, 1 (2025), pp. 27–46.</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5D"/>
    <w:rsid w:val="00012B87"/>
    <w:rsid w:val="000348FE"/>
    <w:rsid w:val="00046A2D"/>
    <w:rsid w:val="000479B0"/>
    <w:rsid w:val="00050533"/>
    <w:rsid w:val="00056DF8"/>
    <w:rsid w:val="0007304B"/>
    <w:rsid w:val="0009768B"/>
    <w:rsid w:val="000C5C14"/>
    <w:rsid w:val="000D1945"/>
    <w:rsid w:val="001350D8"/>
    <w:rsid w:val="0014017E"/>
    <w:rsid w:val="00160193"/>
    <w:rsid w:val="00193C59"/>
    <w:rsid w:val="001942FE"/>
    <w:rsid w:val="001B1663"/>
    <w:rsid w:val="001C1049"/>
    <w:rsid w:val="001C380A"/>
    <w:rsid w:val="001C389F"/>
    <w:rsid w:val="001E5964"/>
    <w:rsid w:val="0020095C"/>
    <w:rsid w:val="00201FE7"/>
    <w:rsid w:val="00205B2B"/>
    <w:rsid w:val="00221BC5"/>
    <w:rsid w:val="0022505F"/>
    <w:rsid w:val="00234F30"/>
    <w:rsid w:val="0024408D"/>
    <w:rsid w:val="0024697D"/>
    <w:rsid w:val="00250E46"/>
    <w:rsid w:val="00256424"/>
    <w:rsid w:val="00285F5D"/>
    <w:rsid w:val="002A641F"/>
    <w:rsid w:val="002C4A58"/>
    <w:rsid w:val="002C4F7D"/>
    <w:rsid w:val="002C7D7E"/>
    <w:rsid w:val="002D0C13"/>
    <w:rsid w:val="002D4E5E"/>
    <w:rsid w:val="002E0390"/>
    <w:rsid w:val="003208B3"/>
    <w:rsid w:val="00321E0F"/>
    <w:rsid w:val="00322E74"/>
    <w:rsid w:val="00325D40"/>
    <w:rsid w:val="003444B2"/>
    <w:rsid w:val="00346D79"/>
    <w:rsid w:val="003510E1"/>
    <w:rsid w:val="003659BF"/>
    <w:rsid w:val="003A0056"/>
    <w:rsid w:val="003B2457"/>
    <w:rsid w:val="003C02CB"/>
    <w:rsid w:val="003C1F3A"/>
    <w:rsid w:val="003C7EDE"/>
    <w:rsid w:val="003F0457"/>
    <w:rsid w:val="003F1FEE"/>
    <w:rsid w:val="003F703E"/>
    <w:rsid w:val="00400FF6"/>
    <w:rsid w:val="00423B78"/>
    <w:rsid w:val="004276EE"/>
    <w:rsid w:val="0043467A"/>
    <w:rsid w:val="00434A76"/>
    <w:rsid w:val="004411C1"/>
    <w:rsid w:val="00447A7C"/>
    <w:rsid w:val="004663C2"/>
    <w:rsid w:val="004706F6"/>
    <w:rsid w:val="00473E70"/>
    <w:rsid w:val="00477F49"/>
    <w:rsid w:val="00492273"/>
    <w:rsid w:val="00497353"/>
    <w:rsid w:val="004A3F7F"/>
    <w:rsid w:val="004A6A88"/>
    <w:rsid w:val="004C03F2"/>
    <w:rsid w:val="004F6761"/>
    <w:rsid w:val="00512411"/>
    <w:rsid w:val="00516FAE"/>
    <w:rsid w:val="00522299"/>
    <w:rsid w:val="005262B9"/>
    <w:rsid w:val="00530146"/>
    <w:rsid w:val="0053522D"/>
    <w:rsid w:val="00543EA4"/>
    <w:rsid w:val="00582B0B"/>
    <w:rsid w:val="005A72BA"/>
    <w:rsid w:val="005B2A3D"/>
    <w:rsid w:val="005D1654"/>
    <w:rsid w:val="005E2FFB"/>
    <w:rsid w:val="005F26D9"/>
    <w:rsid w:val="00603320"/>
    <w:rsid w:val="00607B34"/>
    <w:rsid w:val="00613DCA"/>
    <w:rsid w:val="00614674"/>
    <w:rsid w:val="00615892"/>
    <w:rsid w:val="00617BEC"/>
    <w:rsid w:val="00627835"/>
    <w:rsid w:val="00635736"/>
    <w:rsid w:val="00653AC5"/>
    <w:rsid w:val="00654A9D"/>
    <w:rsid w:val="006672B9"/>
    <w:rsid w:val="00672D6B"/>
    <w:rsid w:val="00692E1B"/>
    <w:rsid w:val="00693734"/>
    <w:rsid w:val="006B4F3B"/>
    <w:rsid w:val="006B7D26"/>
    <w:rsid w:val="006C3B94"/>
    <w:rsid w:val="006D5346"/>
    <w:rsid w:val="00753A76"/>
    <w:rsid w:val="00770C12"/>
    <w:rsid w:val="0077639F"/>
    <w:rsid w:val="00782A0F"/>
    <w:rsid w:val="007945BE"/>
    <w:rsid w:val="00795EEE"/>
    <w:rsid w:val="007A6677"/>
    <w:rsid w:val="007B0768"/>
    <w:rsid w:val="007B6551"/>
    <w:rsid w:val="007D5682"/>
    <w:rsid w:val="007E5030"/>
    <w:rsid w:val="007F17ED"/>
    <w:rsid w:val="00807B5C"/>
    <w:rsid w:val="00811E1C"/>
    <w:rsid w:val="00817CEB"/>
    <w:rsid w:val="00837763"/>
    <w:rsid w:val="0086630F"/>
    <w:rsid w:val="0087035E"/>
    <w:rsid w:val="00873A9A"/>
    <w:rsid w:val="00894700"/>
    <w:rsid w:val="008A1449"/>
    <w:rsid w:val="008A215D"/>
    <w:rsid w:val="008A3AF1"/>
    <w:rsid w:val="008C50A4"/>
    <w:rsid w:val="008C5585"/>
    <w:rsid w:val="008D4EB5"/>
    <w:rsid w:val="008D504A"/>
    <w:rsid w:val="008F5E4D"/>
    <w:rsid w:val="009012D4"/>
    <w:rsid w:val="009114AF"/>
    <w:rsid w:val="00926ADA"/>
    <w:rsid w:val="00927331"/>
    <w:rsid w:val="009470E9"/>
    <w:rsid w:val="009539CE"/>
    <w:rsid w:val="00962F2B"/>
    <w:rsid w:val="00994564"/>
    <w:rsid w:val="009B5E59"/>
    <w:rsid w:val="009C1C4F"/>
    <w:rsid w:val="009D28A0"/>
    <w:rsid w:val="009D762E"/>
    <w:rsid w:val="009E6E05"/>
    <w:rsid w:val="00A00CB4"/>
    <w:rsid w:val="00A06644"/>
    <w:rsid w:val="00A23094"/>
    <w:rsid w:val="00A24954"/>
    <w:rsid w:val="00A326F3"/>
    <w:rsid w:val="00A45332"/>
    <w:rsid w:val="00A56CF3"/>
    <w:rsid w:val="00A61424"/>
    <w:rsid w:val="00A64A7E"/>
    <w:rsid w:val="00A7420C"/>
    <w:rsid w:val="00A75829"/>
    <w:rsid w:val="00A96558"/>
    <w:rsid w:val="00AA66C1"/>
    <w:rsid w:val="00AD5823"/>
    <w:rsid w:val="00AD7A28"/>
    <w:rsid w:val="00AE26EA"/>
    <w:rsid w:val="00AF39F5"/>
    <w:rsid w:val="00B0075C"/>
    <w:rsid w:val="00B15691"/>
    <w:rsid w:val="00B51108"/>
    <w:rsid w:val="00B72A2D"/>
    <w:rsid w:val="00B80210"/>
    <w:rsid w:val="00B865BE"/>
    <w:rsid w:val="00B945EF"/>
    <w:rsid w:val="00BB21D3"/>
    <w:rsid w:val="00BB788F"/>
    <w:rsid w:val="00BB78ED"/>
    <w:rsid w:val="00BB79E6"/>
    <w:rsid w:val="00BC33E8"/>
    <w:rsid w:val="00BD0658"/>
    <w:rsid w:val="00BD396A"/>
    <w:rsid w:val="00C0128F"/>
    <w:rsid w:val="00C22AF7"/>
    <w:rsid w:val="00C3131D"/>
    <w:rsid w:val="00C37E4B"/>
    <w:rsid w:val="00C674D2"/>
    <w:rsid w:val="00C7478A"/>
    <w:rsid w:val="00C753DE"/>
    <w:rsid w:val="00C805FF"/>
    <w:rsid w:val="00CA5025"/>
    <w:rsid w:val="00CB3A5C"/>
    <w:rsid w:val="00CB7E27"/>
    <w:rsid w:val="00CD606D"/>
    <w:rsid w:val="00CD7ACF"/>
    <w:rsid w:val="00CE04A8"/>
    <w:rsid w:val="00CF19FA"/>
    <w:rsid w:val="00D075F0"/>
    <w:rsid w:val="00D1710B"/>
    <w:rsid w:val="00D20778"/>
    <w:rsid w:val="00D34D98"/>
    <w:rsid w:val="00D46F2E"/>
    <w:rsid w:val="00D54DD3"/>
    <w:rsid w:val="00D7205F"/>
    <w:rsid w:val="00D8313D"/>
    <w:rsid w:val="00DA7D4B"/>
    <w:rsid w:val="00DD696E"/>
    <w:rsid w:val="00DD7600"/>
    <w:rsid w:val="00DE0A8C"/>
    <w:rsid w:val="00DE704F"/>
    <w:rsid w:val="00E1351B"/>
    <w:rsid w:val="00E2567B"/>
    <w:rsid w:val="00E5379D"/>
    <w:rsid w:val="00E53A80"/>
    <w:rsid w:val="00E5576E"/>
    <w:rsid w:val="00E67197"/>
    <w:rsid w:val="00E762D4"/>
    <w:rsid w:val="00EA559E"/>
    <w:rsid w:val="00EA77EF"/>
    <w:rsid w:val="00EC3A4C"/>
    <w:rsid w:val="00EC473A"/>
    <w:rsid w:val="00EF45A7"/>
    <w:rsid w:val="00F0215C"/>
    <w:rsid w:val="00F1586A"/>
    <w:rsid w:val="00F23ECB"/>
    <w:rsid w:val="00F34BD1"/>
    <w:rsid w:val="00F378B4"/>
    <w:rsid w:val="00F44B5D"/>
    <w:rsid w:val="00F4667D"/>
    <w:rsid w:val="00F53559"/>
    <w:rsid w:val="00F57472"/>
    <w:rsid w:val="00F62BB8"/>
    <w:rsid w:val="00F70C24"/>
    <w:rsid w:val="00F93FDB"/>
    <w:rsid w:val="00FB6917"/>
    <w:rsid w:val="00FC1297"/>
    <w:rsid w:val="00FD72A6"/>
    <w:rsid w:val="00FE4990"/>
    <w:rsid w:val="00FF380F"/>
    <w:rsid w:val="00FF64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C4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795EE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unhideWhenUsed/>
    <w:rsid w:val="00400FF6"/>
    <w:pPr>
      <w:spacing w:after="240" w:line="240" w:lineRule="auto"/>
      <w:ind w:left="720" w:hanging="720"/>
    </w:pPr>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semiHidden/>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styleId="Emphasis">
    <w:name w:val="Emphasis"/>
    <w:basedOn w:val="DefaultParagraphFont"/>
    <w:uiPriority w:val="20"/>
    <w:qFormat/>
    <w:rsid w:val="00FF380F"/>
    <w:rPr>
      <w:i/>
      <w:iCs/>
    </w:rPr>
  </w:style>
  <w:style w:type="table" w:styleId="TableGrid">
    <w:name w:val="Table Grid"/>
    <w:basedOn w:val="TableNormal"/>
    <w:uiPriority w:val="59"/>
    <w:rsid w:val="00FF38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15691"/>
    <w:rPr>
      <w:b/>
      <w:bCs/>
    </w:rPr>
  </w:style>
  <w:style w:type="character" w:customStyle="1" w:styleId="Heading2Char">
    <w:name w:val="Heading 2 Char"/>
    <w:basedOn w:val="DefaultParagraphFont"/>
    <w:link w:val="Heading2"/>
    <w:uiPriority w:val="9"/>
    <w:rsid w:val="009C1C4F"/>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9C1C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95EEE"/>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D54DD3"/>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C4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795EE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5D"/>
  </w:style>
  <w:style w:type="paragraph" w:styleId="Footer">
    <w:name w:val="footer"/>
    <w:basedOn w:val="Normal"/>
    <w:link w:val="FooterChar"/>
    <w:uiPriority w:val="99"/>
    <w:unhideWhenUsed/>
    <w:rsid w:val="00F4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5D"/>
  </w:style>
  <w:style w:type="character" w:styleId="Hyperlink">
    <w:name w:val="Hyperlink"/>
    <w:basedOn w:val="DefaultParagraphFont"/>
    <w:uiPriority w:val="99"/>
    <w:unhideWhenUsed/>
    <w:rsid w:val="00F44B5D"/>
    <w:rPr>
      <w:color w:val="0563C1" w:themeColor="hyperlink"/>
      <w:u w:val="single"/>
    </w:rPr>
  </w:style>
  <w:style w:type="paragraph" w:styleId="HTMLPreformatted">
    <w:name w:val="HTML Preformatted"/>
    <w:basedOn w:val="Normal"/>
    <w:link w:val="HTMLPreformattedChar"/>
    <w:uiPriority w:val="99"/>
    <w:semiHidden/>
    <w:unhideWhenUsed/>
    <w:rsid w:val="0043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34A76"/>
    <w:rPr>
      <w:rFonts w:ascii="Courier New" w:eastAsia="Times New Roman" w:hAnsi="Courier New" w:cs="Courier New"/>
      <w:sz w:val="20"/>
      <w:szCs w:val="20"/>
      <w:lang w:eastAsia="id-ID"/>
    </w:rPr>
  </w:style>
  <w:style w:type="character" w:customStyle="1" w:styleId="y2iqfc">
    <w:name w:val="y2iqfc"/>
    <w:basedOn w:val="DefaultParagraphFont"/>
    <w:rsid w:val="00434A76"/>
  </w:style>
  <w:style w:type="paragraph" w:styleId="Bibliography">
    <w:name w:val="Bibliography"/>
    <w:basedOn w:val="Normal"/>
    <w:next w:val="Normal"/>
    <w:uiPriority w:val="37"/>
    <w:unhideWhenUsed/>
    <w:rsid w:val="00400FF6"/>
    <w:pPr>
      <w:spacing w:after="240" w:line="240" w:lineRule="auto"/>
      <w:ind w:left="720" w:hanging="720"/>
    </w:pPr>
  </w:style>
  <w:style w:type="character" w:styleId="CommentReference">
    <w:name w:val="annotation reference"/>
    <w:basedOn w:val="DefaultParagraphFont"/>
    <w:uiPriority w:val="99"/>
    <w:semiHidden/>
    <w:unhideWhenUsed/>
    <w:rsid w:val="006C3B94"/>
    <w:rPr>
      <w:sz w:val="16"/>
      <w:szCs w:val="16"/>
    </w:rPr>
  </w:style>
  <w:style w:type="paragraph" w:styleId="CommentText">
    <w:name w:val="annotation text"/>
    <w:basedOn w:val="Normal"/>
    <w:link w:val="CommentTextChar"/>
    <w:uiPriority w:val="99"/>
    <w:semiHidden/>
    <w:unhideWhenUsed/>
    <w:rsid w:val="006C3B94"/>
    <w:pPr>
      <w:spacing w:line="240" w:lineRule="auto"/>
    </w:pPr>
    <w:rPr>
      <w:sz w:val="20"/>
      <w:szCs w:val="20"/>
    </w:rPr>
  </w:style>
  <w:style w:type="character" w:customStyle="1" w:styleId="CommentTextChar">
    <w:name w:val="Comment Text Char"/>
    <w:basedOn w:val="DefaultParagraphFont"/>
    <w:link w:val="CommentText"/>
    <w:uiPriority w:val="99"/>
    <w:semiHidden/>
    <w:rsid w:val="006C3B94"/>
    <w:rPr>
      <w:sz w:val="20"/>
      <w:szCs w:val="20"/>
    </w:rPr>
  </w:style>
  <w:style w:type="paragraph" w:styleId="CommentSubject">
    <w:name w:val="annotation subject"/>
    <w:basedOn w:val="CommentText"/>
    <w:next w:val="CommentText"/>
    <w:link w:val="CommentSubjectChar"/>
    <w:uiPriority w:val="99"/>
    <w:semiHidden/>
    <w:unhideWhenUsed/>
    <w:rsid w:val="006C3B94"/>
    <w:rPr>
      <w:b/>
      <w:bCs/>
    </w:rPr>
  </w:style>
  <w:style w:type="character" w:customStyle="1" w:styleId="CommentSubjectChar">
    <w:name w:val="Comment Subject Char"/>
    <w:basedOn w:val="CommentTextChar"/>
    <w:link w:val="CommentSubject"/>
    <w:uiPriority w:val="99"/>
    <w:semiHidden/>
    <w:rsid w:val="006C3B94"/>
    <w:rPr>
      <w:b/>
      <w:bCs/>
      <w:sz w:val="20"/>
      <w:szCs w:val="20"/>
    </w:rPr>
  </w:style>
  <w:style w:type="paragraph" w:styleId="BalloonText">
    <w:name w:val="Balloon Text"/>
    <w:basedOn w:val="Normal"/>
    <w:link w:val="BalloonTextChar"/>
    <w:uiPriority w:val="99"/>
    <w:semiHidden/>
    <w:unhideWhenUsed/>
    <w:rsid w:val="006C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94"/>
    <w:rPr>
      <w:rFonts w:ascii="Segoe UI" w:hAnsi="Segoe UI" w:cs="Segoe UI"/>
      <w:sz w:val="18"/>
      <w:szCs w:val="18"/>
    </w:rPr>
  </w:style>
  <w:style w:type="paragraph" w:styleId="FootnoteText">
    <w:name w:val="footnote text"/>
    <w:basedOn w:val="Normal"/>
    <w:link w:val="FootnoteTextChar"/>
    <w:uiPriority w:val="99"/>
    <w:semiHidden/>
    <w:unhideWhenUsed/>
    <w:rsid w:val="006C3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B94"/>
    <w:rPr>
      <w:sz w:val="20"/>
      <w:szCs w:val="20"/>
    </w:rPr>
  </w:style>
  <w:style w:type="character" w:styleId="FootnoteReference">
    <w:name w:val="footnote reference"/>
    <w:basedOn w:val="DefaultParagraphFont"/>
    <w:uiPriority w:val="99"/>
    <w:semiHidden/>
    <w:unhideWhenUsed/>
    <w:rsid w:val="006C3B94"/>
    <w:rPr>
      <w:vertAlign w:val="superscript"/>
    </w:rPr>
  </w:style>
  <w:style w:type="paragraph" w:styleId="ListParagraph">
    <w:name w:val="List Paragraph"/>
    <w:basedOn w:val="Normal"/>
    <w:uiPriority w:val="34"/>
    <w:qFormat/>
    <w:rsid w:val="006C3B94"/>
    <w:pPr>
      <w:ind w:left="720"/>
      <w:contextualSpacing/>
    </w:pPr>
  </w:style>
  <w:style w:type="character" w:styleId="Emphasis">
    <w:name w:val="Emphasis"/>
    <w:basedOn w:val="DefaultParagraphFont"/>
    <w:uiPriority w:val="20"/>
    <w:qFormat/>
    <w:rsid w:val="00FF380F"/>
    <w:rPr>
      <w:i/>
      <w:iCs/>
    </w:rPr>
  </w:style>
  <w:style w:type="table" w:styleId="TableGrid">
    <w:name w:val="Table Grid"/>
    <w:basedOn w:val="TableNormal"/>
    <w:uiPriority w:val="59"/>
    <w:rsid w:val="00FF38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15691"/>
    <w:rPr>
      <w:b/>
      <w:bCs/>
    </w:rPr>
  </w:style>
  <w:style w:type="character" w:customStyle="1" w:styleId="Heading2Char">
    <w:name w:val="Heading 2 Char"/>
    <w:basedOn w:val="DefaultParagraphFont"/>
    <w:link w:val="Heading2"/>
    <w:uiPriority w:val="9"/>
    <w:rsid w:val="009C1C4F"/>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9C1C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95EEE"/>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D54DD3"/>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8294">
      <w:bodyDiv w:val="1"/>
      <w:marLeft w:val="0"/>
      <w:marRight w:val="0"/>
      <w:marTop w:val="0"/>
      <w:marBottom w:val="0"/>
      <w:divBdr>
        <w:top w:val="none" w:sz="0" w:space="0" w:color="auto"/>
        <w:left w:val="none" w:sz="0" w:space="0" w:color="auto"/>
        <w:bottom w:val="none" w:sz="0" w:space="0" w:color="auto"/>
        <w:right w:val="none" w:sz="0" w:space="0" w:color="auto"/>
      </w:divBdr>
    </w:div>
    <w:div w:id="114563307">
      <w:bodyDiv w:val="1"/>
      <w:marLeft w:val="0"/>
      <w:marRight w:val="0"/>
      <w:marTop w:val="0"/>
      <w:marBottom w:val="0"/>
      <w:divBdr>
        <w:top w:val="none" w:sz="0" w:space="0" w:color="auto"/>
        <w:left w:val="none" w:sz="0" w:space="0" w:color="auto"/>
        <w:bottom w:val="none" w:sz="0" w:space="0" w:color="auto"/>
        <w:right w:val="none" w:sz="0" w:space="0" w:color="auto"/>
      </w:divBdr>
    </w:div>
    <w:div w:id="200172177">
      <w:bodyDiv w:val="1"/>
      <w:marLeft w:val="0"/>
      <w:marRight w:val="0"/>
      <w:marTop w:val="0"/>
      <w:marBottom w:val="0"/>
      <w:divBdr>
        <w:top w:val="none" w:sz="0" w:space="0" w:color="auto"/>
        <w:left w:val="none" w:sz="0" w:space="0" w:color="auto"/>
        <w:bottom w:val="none" w:sz="0" w:space="0" w:color="auto"/>
        <w:right w:val="none" w:sz="0" w:space="0" w:color="auto"/>
      </w:divBdr>
    </w:div>
    <w:div w:id="236209016">
      <w:bodyDiv w:val="1"/>
      <w:marLeft w:val="0"/>
      <w:marRight w:val="0"/>
      <w:marTop w:val="0"/>
      <w:marBottom w:val="0"/>
      <w:divBdr>
        <w:top w:val="none" w:sz="0" w:space="0" w:color="auto"/>
        <w:left w:val="none" w:sz="0" w:space="0" w:color="auto"/>
        <w:bottom w:val="none" w:sz="0" w:space="0" w:color="auto"/>
        <w:right w:val="none" w:sz="0" w:space="0" w:color="auto"/>
      </w:divBdr>
    </w:div>
    <w:div w:id="273099324">
      <w:bodyDiv w:val="1"/>
      <w:marLeft w:val="0"/>
      <w:marRight w:val="0"/>
      <w:marTop w:val="0"/>
      <w:marBottom w:val="0"/>
      <w:divBdr>
        <w:top w:val="none" w:sz="0" w:space="0" w:color="auto"/>
        <w:left w:val="none" w:sz="0" w:space="0" w:color="auto"/>
        <w:bottom w:val="none" w:sz="0" w:space="0" w:color="auto"/>
        <w:right w:val="none" w:sz="0" w:space="0" w:color="auto"/>
      </w:divBdr>
    </w:div>
    <w:div w:id="448818806">
      <w:bodyDiv w:val="1"/>
      <w:marLeft w:val="0"/>
      <w:marRight w:val="0"/>
      <w:marTop w:val="0"/>
      <w:marBottom w:val="0"/>
      <w:divBdr>
        <w:top w:val="none" w:sz="0" w:space="0" w:color="auto"/>
        <w:left w:val="none" w:sz="0" w:space="0" w:color="auto"/>
        <w:bottom w:val="none" w:sz="0" w:space="0" w:color="auto"/>
        <w:right w:val="none" w:sz="0" w:space="0" w:color="auto"/>
      </w:divBdr>
    </w:div>
    <w:div w:id="552814343">
      <w:bodyDiv w:val="1"/>
      <w:marLeft w:val="0"/>
      <w:marRight w:val="0"/>
      <w:marTop w:val="0"/>
      <w:marBottom w:val="0"/>
      <w:divBdr>
        <w:top w:val="none" w:sz="0" w:space="0" w:color="auto"/>
        <w:left w:val="none" w:sz="0" w:space="0" w:color="auto"/>
        <w:bottom w:val="none" w:sz="0" w:space="0" w:color="auto"/>
        <w:right w:val="none" w:sz="0" w:space="0" w:color="auto"/>
      </w:divBdr>
    </w:div>
    <w:div w:id="665858741">
      <w:bodyDiv w:val="1"/>
      <w:marLeft w:val="0"/>
      <w:marRight w:val="0"/>
      <w:marTop w:val="0"/>
      <w:marBottom w:val="0"/>
      <w:divBdr>
        <w:top w:val="none" w:sz="0" w:space="0" w:color="auto"/>
        <w:left w:val="none" w:sz="0" w:space="0" w:color="auto"/>
        <w:bottom w:val="none" w:sz="0" w:space="0" w:color="auto"/>
        <w:right w:val="none" w:sz="0" w:space="0" w:color="auto"/>
      </w:divBdr>
    </w:div>
    <w:div w:id="794183081">
      <w:bodyDiv w:val="1"/>
      <w:marLeft w:val="0"/>
      <w:marRight w:val="0"/>
      <w:marTop w:val="0"/>
      <w:marBottom w:val="0"/>
      <w:divBdr>
        <w:top w:val="none" w:sz="0" w:space="0" w:color="auto"/>
        <w:left w:val="none" w:sz="0" w:space="0" w:color="auto"/>
        <w:bottom w:val="none" w:sz="0" w:space="0" w:color="auto"/>
        <w:right w:val="none" w:sz="0" w:space="0" w:color="auto"/>
      </w:divBdr>
    </w:div>
    <w:div w:id="816650003">
      <w:bodyDiv w:val="1"/>
      <w:marLeft w:val="0"/>
      <w:marRight w:val="0"/>
      <w:marTop w:val="0"/>
      <w:marBottom w:val="0"/>
      <w:divBdr>
        <w:top w:val="none" w:sz="0" w:space="0" w:color="auto"/>
        <w:left w:val="none" w:sz="0" w:space="0" w:color="auto"/>
        <w:bottom w:val="none" w:sz="0" w:space="0" w:color="auto"/>
        <w:right w:val="none" w:sz="0" w:space="0" w:color="auto"/>
      </w:divBdr>
    </w:div>
    <w:div w:id="881474966">
      <w:bodyDiv w:val="1"/>
      <w:marLeft w:val="0"/>
      <w:marRight w:val="0"/>
      <w:marTop w:val="0"/>
      <w:marBottom w:val="0"/>
      <w:divBdr>
        <w:top w:val="none" w:sz="0" w:space="0" w:color="auto"/>
        <w:left w:val="none" w:sz="0" w:space="0" w:color="auto"/>
        <w:bottom w:val="none" w:sz="0" w:space="0" w:color="auto"/>
        <w:right w:val="none" w:sz="0" w:space="0" w:color="auto"/>
      </w:divBdr>
    </w:div>
    <w:div w:id="1070813815">
      <w:bodyDiv w:val="1"/>
      <w:marLeft w:val="0"/>
      <w:marRight w:val="0"/>
      <w:marTop w:val="0"/>
      <w:marBottom w:val="0"/>
      <w:divBdr>
        <w:top w:val="none" w:sz="0" w:space="0" w:color="auto"/>
        <w:left w:val="none" w:sz="0" w:space="0" w:color="auto"/>
        <w:bottom w:val="none" w:sz="0" w:space="0" w:color="auto"/>
        <w:right w:val="none" w:sz="0" w:space="0" w:color="auto"/>
      </w:divBdr>
    </w:div>
    <w:div w:id="1213421587">
      <w:bodyDiv w:val="1"/>
      <w:marLeft w:val="0"/>
      <w:marRight w:val="0"/>
      <w:marTop w:val="0"/>
      <w:marBottom w:val="0"/>
      <w:divBdr>
        <w:top w:val="none" w:sz="0" w:space="0" w:color="auto"/>
        <w:left w:val="none" w:sz="0" w:space="0" w:color="auto"/>
        <w:bottom w:val="none" w:sz="0" w:space="0" w:color="auto"/>
        <w:right w:val="none" w:sz="0" w:space="0" w:color="auto"/>
      </w:divBdr>
    </w:div>
    <w:div w:id="1216090036">
      <w:bodyDiv w:val="1"/>
      <w:marLeft w:val="0"/>
      <w:marRight w:val="0"/>
      <w:marTop w:val="0"/>
      <w:marBottom w:val="0"/>
      <w:divBdr>
        <w:top w:val="none" w:sz="0" w:space="0" w:color="auto"/>
        <w:left w:val="none" w:sz="0" w:space="0" w:color="auto"/>
        <w:bottom w:val="none" w:sz="0" w:space="0" w:color="auto"/>
        <w:right w:val="none" w:sz="0" w:space="0" w:color="auto"/>
      </w:divBdr>
    </w:div>
    <w:div w:id="1552307924">
      <w:bodyDiv w:val="1"/>
      <w:marLeft w:val="0"/>
      <w:marRight w:val="0"/>
      <w:marTop w:val="0"/>
      <w:marBottom w:val="0"/>
      <w:divBdr>
        <w:top w:val="none" w:sz="0" w:space="0" w:color="auto"/>
        <w:left w:val="none" w:sz="0" w:space="0" w:color="auto"/>
        <w:bottom w:val="none" w:sz="0" w:space="0" w:color="auto"/>
        <w:right w:val="none" w:sz="0" w:space="0" w:color="auto"/>
      </w:divBdr>
    </w:div>
    <w:div w:id="1591501939">
      <w:bodyDiv w:val="1"/>
      <w:marLeft w:val="0"/>
      <w:marRight w:val="0"/>
      <w:marTop w:val="0"/>
      <w:marBottom w:val="0"/>
      <w:divBdr>
        <w:top w:val="none" w:sz="0" w:space="0" w:color="auto"/>
        <w:left w:val="none" w:sz="0" w:space="0" w:color="auto"/>
        <w:bottom w:val="none" w:sz="0" w:space="0" w:color="auto"/>
        <w:right w:val="none" w:sz="0" w:space="0" w:color="auto"/>
      </w:divBdr>
    </w:div>
    <w:div w:id="1726679121">
      <w:bodyDiv w:val="1"/>
      <w:marLeft w:val="0"/>
      <w:marRight w:val="0"/>
      <w:marTop w:val="0"/>
      <w:marBottom w:val="0"/>
      <w:divBdr>
        <w:top w:val="none" w:sz="0" w:space="0" w:color="auto"/>
        <w:left w:val="none" w:sz="0" w:space="0" w:color="auto"/>
        <w:bottom w:val="none" w:sz="0" w:space="0" w:color="auto"/>
        <w:right w:val="none" w:sz="0" w:space="0" w:color="auto"/>
      </w:divBdr>
    </w:div>
    <w:div w:id="1759407140">
      <w:bodyDiv w:val="1"/>
      <w:marLeft w:val="0"/>
      <w:marRight w:val="0"/>
      <w:marTop w:val="0"/>
      <w:marBottom w:val="0"/>
      <w:divBdr>
        <w:top w:val="none" w:sz="0" w:space="0" w:color="auto"/>
        <w:left w:val="none" w:sz="0" w:space="0" w:color="auto"/>
        <w:bottom w:val="none" w:sz="0" w:space="0" w:color="auto"/>
        <w:right w:val="none" w:sz="0" w:space="0" w:color="auto"/>
      </w:divBdr>
    </w:div>
    <w:div w:id="1766339850">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00701613">
      <w:bodyDiv w:val="1"/>
      <w:marLeft w:val="0"/>
      <w:marRight w:val="0"/>
      <w:marTop w:val="0"/>
      <w:marBottom w:val="0"/>
      <w:divBdr>
        <w:top w:val="none" w:sz="0" w:space="0" w:color="auto"/>
        <w:left w:val="none" w:sz="0" w:space="0" w:color="auto"/>
        <w:bottom w:val="none" w:sz="0" w:space="0" w:color="auto"/>
        <w:right w:val="none" w:sz="0" w:space="0" w:color="auto"/>
      </w:divBdr>
    </w:div>
    <w:div w:id="2083913744">
      <w:bodyDiv w:val="1"/>
      <w:marLeft w:val="0"/>
      <w:marRight w:val="0"/>
      <w:marTop w:val="0"/>
      <w:marBottom w:val="0"/>
      <w:divBdr>
        <w:top w:val="none" w:sz="0" w:space="0" w:color="auto"/>
        <w:left w:val="none" w:sz="0" w:space="0" w:color="auto"/>
        <w:bottom w:val="none" w:sz="0" w:space="0" w:color="auto"/>
        <w:right w:val="none" w:sz="0" w:space="0" w:color="auto"/>
      </w:divBdr>
    </w:div>
    <w:div w:id="21350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rmansyah@radenfatah.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imron@radenfatah.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ikafajriyah@gmail.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2D65-556C-42BB-BDDF-DAA4BB91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sunaini empede</dc:creator>
  <cp:lastModifiedBy>10</cp:lastModifiedBy>
  <cp:revision>2</cp:revision>
  <dcterms:created xsi:type="dcterms:W3CDTF">2025-05-07T13:00:00Z</dcterms:created>
  <dcterms:modified xsi:type="dcterms:W3CDTF">2025-05-07T13:00:00Z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9e297dbd-0dd0-32df-858d-f8d5da132951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zotero-version="7.0.13"&gt;&lt;session id="vByEzSMf"/&gt;&lt;style id="http://www.zotero.org/styles/modern-humanities-research-association" hasBibliography="1" bibliographyStyleHasBeenSet="1"/&gt;&lt;prefs&gt;&lt;pref name="noteType" value="1"/&gt;&lt;pref name=</vt:lpwstr>
  </property>
  <property fmtid="{D5CDD505-2E9C-101B-9397-08002B2CF9AE}" pid="26" name="ZOTERO_PREF_2">
    <vt:lpwstr>"fieldType" value="Field"/&gt;&lt;/prefs&gt;&lt;/data&gt;</vt:lpwstr>
  </property>
</Properties>
</file>