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7767D" w14:textId="780A8015" w:rsidR="001D3718" w:rsidRPr="0045212E" w:rsidRDefault="00935D9A" w:rsidP="0045212E">
      <w:pPr>
        <w:pStyle w:val="Titlebesture"/>
      </w:pPr>
      <w:r>
        <w:t xml:space="preserve">Legal Analysis of the Establishment of Districts </w:t>
      </w:r>
      <w:proofErr w:type="gramStart"/>
      <w:r>
        <w:t>Within</w:t>
      </w:r>
      <w:proofErr w:type="gramEnd"/>
      <w:r>
        <w:t xml:space="preserve"> the Framework of Local Government Regulations: A Case Study on the Expansion Pla</w:t>
      </w:r>
      <w:bookmarkStart w:id="0" w:name="_GoBack"/>
      <w:bookmarkEnd w:id="0"/>
      <w:r>
        <w:t xml:space="preserve">n of </w:t>
      </w:r>
      <w:proofErr w:type="spellStart"/>
      <w:r>
        <w:t>Monta</w:t>
      </w:r>
      <w:proofErr w:type="spellEnd"/>
      <w:r>
        <w:t xml:space="preserve"> District, </w:t>
      </w:r>
      <w:proofErr w:type="spellStart"/>
      <w:r>
        <w:t>Bima</w:t>
      </w:r>
      <w:proofErr w:type="spellEnd"/>
      <w:r>
        <w:t xml:space="preserve"> Regency</w:t>
      </w:r>
      <w:r>
        <w:rPr>
          <w:lang w:val="id-ID"/>
        </w:rPr>
        <w:t xml:space="preserve"> </w:t>
      </w:r>
      <w:r w:rsidRPr="0045212E">
        <w:t xml:space="preserve"> </w:t>
      </w:r>
    </w:p>
    <w:p w14:paraId="4EC3E43A" w14:textId="0B2842A6" w:rsidR="001D3718" w:rsidRPr="005947E9" w:rsidRDefault="00C874D1" w:rsidP="001D3718">
      <w:pPr>
        <w:pStyle w:val="Author"/>
        <w:ind w:right="2"/>
        <w:rPr>
          <w:sz w:val="22"/>
          <w:szCs w:val="22"/>
          <w:lang w:val="id-ID" w:eastAsia="zh-CN"/>
        </w:rPr>
      </w:pPr>
      <w:r w:rsidRPr="00C874D1">
        <w:rPr>
          <w:sz w:val="22"/>
          <w:szCs w:val="22"/>
        </w:rPr>
        <w:t>Syamsudin</w:t>
      </w:r>
      <w:r w:rsidR="001D3718" w:rsidRPr="00923AD2">
        <w:rPr>
          <w:sz w:val="22"/>
          <w:szCs w:val="22"/>
          <w:vertAlign w:val="superscript"/>
        </w:rPr>
        <w:t>a</w:t>
      </w:r>
      <w:r w:rsidR="0027672B" w:rsidRPr="00923AD2">
        <w:rPr>
          <w:sz w:val="22"/>
          <w:szCs w:val="22"/>
          <w:vertAlign w:val="superscript"/>
        </w:rPr>
        <w:t>,1</w:t>
      </w:r>
      <w:r w:rsidR="00856998" w:rsidRPr="00923AD2">
        <w:rPr>
          <w:sz w:val="22"/>
          <w:szCs w:val="22"/>
          <w:vertAlign w:val="superscript"/>
        </w:rPr>
        <w:t>,*</w:t>
      </w:r>
      <w:r w:rsidR="0095677C" w:rsidRPr="00923AD2">
        <w:rPr>
          <w:sz w:val="22"/>
          <w:szCs w:val="22"/>
          <w:vertAlign w:val="superscript"/>
          <w:lang w:val="id-ID"/>
        </w:rPr>
        <w:t xml:space="preserve"> </w:t>
      </w:r>
      <w:r w:rsidR="006D0C6B">
        <w:rPr>
          <w:sz w:val="22"/>
          <w:szCs w:val="22"/>
        </w:rPr>
        <w:t>,</w:t>
      </w:r>
      <w:r w:rsidRPr="00C874D1">
        <w:rPr>
          <w:sz w:val="22"/>
          <w:szCs w:val="22"/>
        </w:rPr>
        <w:t>Aman Ma’arij</w:t>
      </w:r>
      <w:r w:rsidR="001D3718" w:rsidRPr="00923AD2">
        <w:rPr>
          <w:sz w:val="22"/>
          <w:szCs w:val="22"/>
          <w:vertAlign w:val="superscript"/>
        </w:rPr>
        <w:t>b</w:t>
      </w:r>
      <w:r w:rsidR="0027672B" w:rsidRPr="00923AD2">
        <w:rPr>
          <w:sz w:val="22"/>
          <w:szCs w:val="22"/>
          <w:vertAlign w:val="superscript"/>
        </w:rPr>
        <w:t>,2</w:t>
      </w:r>
      <w:r w:rsidR="001D3718" w:rsidRPr="00923AD2">
        <w:rPr>
          <w:sz w:val="22"/>
          <w:szCs w:val="22"/>
        </w:rPr>
        <w:t xml:space="preserve">, </w:t>
      </w:r>
      <w:r w:rsidRPr="00C874D1">
        <w:rPr>
          <w:sz w:val="22"/>
          <w:szCs w:val="22"/>
        </w:rPr>
        <w:t>Erham</w:t>
      </w:r>
      <w:r w:rsidR="001D3718" w:rsidRPr="00923AD2">
        <w:rPr>
          <w:sz w:val="22"/>
          <w:szCs w:val="22"/>
          <w:vertAlign w:val="superscript"/>
        </w:rPr>
        <w:t>b</w:t>
      </w:r>
      <w:r w:rsidR="0027672B" w:rsidRPr="00923AD2">
        <w:rPr>
          <w:sz w:val="22"/>
          <w:szCs w:val="22"/>
          <w:vertAlign w:val="superscript"/>
        </w:rPr>
        <w:t>,3</w:t>
      </w:r>
      <w:r w:rsidR="00E92E97">
        <w:rPr>
          <w:sz w:val="22"/>
          <w:szCs w:val="22"/>
          <w:lang w:val="id-ID"/>
        </w:rPr>
        <w:t>, Andriadin</w:t>
      </w:r>
      <w:r w:rsidRPr="00923AD2">
        <w:rPr>
          <w:sz w:val="22"/>
          <w:szCs w:val="22"/>
          <w:vertAlign w:val="superscript"/>
        </w:rPr>
        <w:t>b</w:t>
      </w:r>
      <w:r w:rsidR="005947E9">
        <w:rPr>
          <w:sz w:val="22"/>
          <w:szCs w:val="22"/>
          <w:vertAlign w:val="superscript"/>
        </w:rPr>
        <w:t>,</w:t>
      </w:r>
      <w:r w:rsidR="005947E9">
        <w:rPr>
          <w:sz w:val="22"/>
          <w:szCs w:val="22"/>
          <w:vertAlign w:val="superscript"/>
          <w:lang w:val="id-ID"/>
        </w:rPr>
        <w:t>4</w:t>
      </w:r>
      <w:r w:rsidRPr="00923AD2">
        <w:rPr>
          <w:sz w:val="22"/>
          <w:szCs w:val="22"/>
        </w:rPr>
        <w:t xml:space="preserve"> </w:t>
      </w:r>
      <w:r w:rsidR="005947E9" w:rsidRPr="005947E9">
        <w:rPr>
          <w:sz w:val="22"/>
          <w:szCs w:val="22"/>
          <w:lang w:val="id-ID"/>
        </w:rPr>
        <w:t>Gufran</w:t>
      </w:r>
      <w:r w:rsidR="005947E9" w:rsidRPr="00923AD2">
        <w:rPr>
          <w:sz w:val="22"/>
          <w:szCs w:val="22"/>
          <w:vertAlign w:val="superscript"/>
        </w:rPr>
        <w:t>b</w:t>
      </w:r>
      <w:r w:rsidR="005947E9">
        <w:rPr>
          <w:sz w:val="22"/>
          <w:szCs w:val="22"/>
          <w:vertAlign w:val="superscript"/>
        </w:rPr>
        <w:t>,5</w:t>
      </w:r>
    </w:p>
    <w:p w14:paraId="43779EF2" w14:textId="2291A23D" w:rsidR="007C7377" w:rsidRPr="00EB1676" w:rsidRDefault="007360C0" w:rsidP="00E95A00">
      <w:pPr>
        <w:pStyle w:val="AuthorAffiliation"/>
        <w:rPr>
          <w:i/>
          <w:sz w:val="18"/>
          <w:szCs w:val="24"/>
        </w:rPr>
      </w:pPr>
      <w:r w:rsidRPr="00923AD2">
        <w:rPr>
          <w:sz w:val="18"/>
          <w:szCs w:val="24"/>
          <w:vertAlign w:val="superscript"/>
        </w:rPr>
        <w:t>1</w:t>
      </w:r>
      <w:r>
        <w:rPr>
          <w:sz w:val="18"/>
          <w:szCs w:val="24"/>
          <w:vertAlign w:val="superscript"/>
          <w:lang w:val="id-ID"/>
        </w:rPr>
        <w:t>,2,3,4</w:t>
      </w:r>
      <w:r w:rsidR="005947E9">
        <w:rPr>
          <w:sz w:val="18"/>
          <w:szCs w:val="24"/>
          <w:vertAlign w:val="superscript"/>
          <w:lang w:val="id-ID"/>
        </w:rPr>
        <w:t xml:space="preserve">,5 </w:t>
      </w:r>
      <w:r>
        <w:rPr>
          <w:sz w:val="18"/>
          <w:szCs w:val="24"/>
          <w:vertAlign w:val="superscript"/>
          <w:lang w:val="id-ID"/>
        </w:rPr>
        <w:t xml:space="preserve"> </w:t>
      </w:r>
      <w:r w:rsidR="00E92E97" w:rsidRPr="00E92E97">
        <w:rPr>
          <w:sz w:val="20"/>
          <w:lang w:val="id-ID"/>
        </w:rPr>
        <w:t>Universitas Muhammadiyah Bima</w:t>
      </w:r>
      <w:r w:rsidR="00E92E97" w:rsidRPr="00923AD2">
        <w:rPr>
          <w:sz w:val="18"/>
          <w:szCs w:val="24"/>
        </w:rPr>
        <w:t xml:space="preserve"> </w:t>
      </w:r>
      <w:r w:rsidR="00687DE8" w:rsidRPr="00923AD2">
        <w:rPr>
          <w:sz w:val="18"/>
          <w:szCs w:val="24"/>
        </w:rPr>
        <w:br/>
      </w:r>
      <w:r w:rsidR="00856998" w:rsidRPr="00923AD2">
        <w:rPr>
          <w:sz w:val="18"/>
          <w:szCs w:val="24"/>
        </w:rPr>
        <w:t>* correspond</w:t>
      </w:r>
      <w:r w:rsidR="00142C0F" w:rsidRPr="00923AD2">
        <w:rPr>
          <w:sz w:val="18"/>
          <w:szCs w:val="24"/>
        </w:rPr>
        <w:t>ing</w:t>
      </w:r>
      <w:r w:rsidR="00856998" w:rsidRPr="00923AD2">
        <w:rPr>
          <w:sz w:val="18"/>
          <w:szCs w:val="24"/>
        </w:rPr>
        <w:t xml:space="preserve"> author</w:t>
      </w:r>
      <w:r w:rsidR="00EB1676">
        <w:rPr>
          <w:sz w:val="18"/>
          <w:szCs w:val="24"/>
          <w:lang w:val="id-ID"/>
        </w:rPr>
        <w:t xml:space="preserve">  </w:t>
      </w:r>
      <w:hyperlink r:id="rId8" w:history="1">
        <w:r w:rsidR="00EB1676" w:rsidRPr="004B7511">
          <w:rPr>
            <w:rStyle w:val="Hyperlink"/>
            <w:sz w:val="18"/>
            <w:szCs w:val="24"/>
            <w:lang w:val="id-ID"/>
          </w:rPr>
          <w:t>andriadinsps@gmail.com</w:t>
        </w:r>
      </w:hyperlink>
      <w:r w:rsidR="005E6139">
        <w:rPr>
          <w:sz w:val="18"/>
          <w:szCs w:val="24"/>
        </w:rPr>
        <w:tab/>
      </w:r>
      <w:r w:rsidR="005E6139">
        <w:rPr>
          <w:sz w:val="18"/>
          <w:szCs w:val="24"/>
        </w:rPr>
        <w:tab/>
      </w:r>
      <w:r w:rsidR="005E6139">
        <w:rPr>
          <w:sz w:val="18"/>
          <w:szCs w:val="24"/>
        </w:rPr>
        <w:tab/>
      </w:r>
      <w:r w:rsidR="005E6139">
        <w:rPr>
          <w:sz w:val="18"/>
          <w:szCs w:val="24"/>
        </w:rPr>
        <w:tab/>
      </w:r>
      <w:r w:rsidR="005E6139">
        <w:rPr>
          <w:sz w:val="18"/>
          <w:szCs w:val="24"/>
        </w:rPr>
        <w:tab/>
      </w:r>
      <w:r w:rsidR="005E6139">
        <w:rPr>
          <w:sz w:val="18"/>
          <w:szCs w:val="24"/>
        </w:rPr>
        <w:tab/>
      </w:r>
      <w:r w:rsidR="005E6139">
        <w:rPr>
          <w:sz w:val="18"/>
          <w:szCs w:val="24"/>
        </w:rPr>
        <w:tab/>
      </w:r>
      <w:r w:rsidR="005E6139">
        <w:rPr>
          <w:sz w:val="18"/>
          <w:szCs w:val="24"/>
        </w:rPr>
        <w:tab/>
      </w:r>
    </w:p>
    <w:p w14:paraId="5F19713F" w14:textId="77777777" w:rsidR="005F5E72" w:rsidRPr="00923AD2" w:rsidRDefault="005F5E72" w:rsidP="005F5E72">
      <w:pPr>
        <w:rPr>
          <w:rFonts w:ascii="Times New Roman" w:hAnsi="Times New Roman"/>
          <w:lang w:val="id-ID"/>
        </w:rPr>
      </w:pP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985"/>
        <w:gridCol w:w="283"/>
        <w:gridCol w:w="6392"/>
        <w:gridCol w:w="133"/>
      </w:tblGrid>
      <w:tr w:rsidR="00E90949" w:rsidRPr="00923AD2" w14:paraId="34CD0793" w14:textId="77777777" w:rsidTr="004D3354">
        <w:trPr>
          <w:trHeight w:val="730"/>
        </w:trPr>
        <w:tc>
          <w:tcPr>
            <w:tcW w:w="1985" w:type="dxa"/>
            <w:tcBorders>
              <w:top w:val="single" w:sz="12" w:space="0" w:color="5B9BD5"/>
              <w:bottom w:val="single" w:sz="12" w:space="0" w:color="5B9BD5"/>
            </w:tcBorders>
            <w:vAlign w:val="center"/>
          </w:tcPr>
          <w:p w14:paraId="6E1A54BA" w14:textId="77777777" w:rsidR="005F5E72" w:rsidRPr="00923AD2" w:rsidRDefault="005F5E72" w:rsidP="00105BB9">
            <w:pPr>
              <w:pStyle w:val="ArticleinfoHead"/>
              <w:rPr>
                <w:noProof/>
              </w:rPr>
            </w:pPr>
            <w:r w:rsidRPr="00923AD2">
              <w:rPr>
                <w:noProof/>
              </w:rPr>
              <w:t>ARTICLE INFO</w:t>
            </w:r>
          </w:p>
        </w:tc>
        <w:tc>
          <w:tcPr>
            <w:tcW w:w="283" w:type="dxa"/>
            <w:tcBorders>
              <w:top w:val="single" w:sz="12" w:space="0" w:color="5B9BD5"/>
              <w:bottom w:val="nil"/>
            </w:tcBorders>
          </w:tcPr>
          <w:p w14:paraId="0331516B" w14:textId="77777777" w:rsidR="005F5E72" w:rsidRPr="00923AD2" w:rsidRDefault="005F5E72" w:rsidP="00105BB9">
            <w:pPr>
              <w:pStyle w:val="AbstractHead"/>
              <w:rPr>
                <w:b/>
              </w:rPr>
            </w:pPr>
          </w:p>
        </w:tc>
        <w:tc>
          <w:tcPr>
            <w:tcW w:w="6392" w:type="dxa"/>
            <w:tcBorders>
              <w:top w:val="single" w:sz="12" w:space="0" w:color="5B9BD5"/>
              <w:bottom w:val="single" w:sz="12" w:space="0" w:color="5B9BD5"/>
            </w:tcBorders>
            <w:tcMar>
              <w:left w:w="240" w:type="dxa"/>
            </w:tcMar>
            <w:vAlign w:val="center"/>
          </w:tcPr>
          <w:p w14:paraId="160D3470" w14:textId="77777777" w:rsidR="005F5E72" w:rsidRPr="00923AD2" w:rsidRDefault="005F5E72" w:rsidP="00105BB9">
            <w:pPr>
              <w:pStyle w:val="AbstractHead"/>
              <w:rPr>
                <w:b/>
              </w:rPr>
            </w:pPr>
            <w:r w:rsidRPr="00923AD2">
              <w:t>ABSTRACT</w:t>
            </w:r>
          </w:p>
        </w:tc>
        <w:tc>
          <w:tcPr>
            <w:tcW w:w="133" w:type="dxa"/>
            <w:tcBorders>
              <w:top w:val="single" w:sz="12" w:space="0" w:color="FF0000"/>
              <w:bottom w:val="single" w:sz="12" w:space="0" w:color="ED7D31"/>
            </w:tcBorders>
          </w:tcPr>
          <w:p w14:paraId="13A179DE" w14:textId="77777777" w:rsidR="005F5E72" w:rsidRPr="00923AD2" w:rsidRDefault="005F5E72" w:rsidP="00105BB9">
            <w:pPr>
              <w:pStyle w:val="AbstractHead"/>
            </w:pPr>
          </w:p>
        </w:tc>
      </w:tr>
      <w:tr w:rsidR="00E90949" w:rsidRPr="00923AD2" w14:paraId="67719D90" w14:textId="77777777" w:rsidTr="004D3354">
        <w:trPr>
          <w:cantSplit/>
          <w:trHeight w:val="1082"/>
        </w:trPr>
        <w:tc>
          <w:tcPr>
            <w:tcW w:w="1985" w:type="dxa"/>
            <w:tcBorders>
              <w:top w:val="single" w:sz="12" w:space="0" w:color="5B9BD5"/>
              <w:bottom w:val="single" w:sz="12" w:space="0" w:color="5B9BD5"/>
            </w:tcBorders>
            <w:tcMar>
              <w:top w:w="72" w:type="dxa"/>
            </w:tcMar>
          </w:tcPr>
          <w:p w14:paraId="38A868A5" w14:textId="77777777" w:rsidR="005F5E72" w:rsidRPr="00923AD2" w:rsidRDefault="005F5E72" w:rsidP="00105BB9">
            <w:pPr>
              <w:pStyle w:val="Articlehistory"/>
              <w:rPr>
                <w:rFonts w:ascii="Times New Roman" w:hAnsi="Times New Roman"/>
                <w:b/>
              </w:rPr>
            </w:pPr>
          </w:p>
          <w:p w14:paraId="2FC35E67" w14:textId="77777777" w:rsidR="005F5E72" w:rsidRPr="00923AD2" w:rsidRDefault="005F5E72" w:rsidP="00105BB9">
            <w:pPr>
              <w:pStyle w:val="ArticlehistoryHead"/>
              <w:framePr w:hSpace="0" w:wrap="auto" w:vAnchor="margin" w:yAlign="inline"/>
              <w:suppressOverlap w:val="0"/>
              <w:rPr>
                <w:rFonts w:ascii="Times New Roman" w:hAnsi="Times New Roman"/>
              </w:rPr>
            </w:pPr>
            <w:r w:rsidRPr="00923AD2">
              <w:rPr>
                <w:rFonts w:ascii="Times New Roman" w:hAnsi="Times New Roman"/>
              </w:rPr>
              <w:t>Article history</w:t>
            </w:r>
          </w:p>
          <w:p w14:paraId="750974CC" w14:textId="77777777" w:rsidR="005F5E72" w:rsidRPr="00564C97" w:rsidRDefault="005F5E72" w:rsidP="00105BB9">
            <w:pPr>
              <w:pStyle w:val="Articlehistory"/>
              <w:rPr>
                <w:rFonts w:ascii="Times New Roman" w:hAnsi="Times New Roman"/>
                <w:lang w:val="id-ID"/>
              </w:rPr>
            </w:pPr>
            <w:r w:rsidRPr="00923AD2">
              <w:rPr>
                <w:rFonts w:ascii="Times New Roman" w:hAnsi="Times New Roman"/>
              </w:rPr>
              <w:t>Received</w:t>
            </w:r>
            <w:r>
              <w:rPr>
                <w:rFonts w:ascii="Times New Roman" w:hAnsi="Times New Roman"/>
                <w:lang w:val="id-ID"/>
              </w:rPr>
              <w:t xml:space="preserve">:  </w:t>
            </w:r>
          </w:p>
          <w:p w14:paraId="06D2BF15" w14:textId="77777777" w:rsidR="005F5E72" w:rsidRPr="00564C97" w:rsidRDefault="005F5E72" w:rsidP="00105BB9">
            <w:pPr>
              <w:pStyle w:val="Articlehistory"/>
              <w:rPr>
                <w:rFonts w:ascii="Times New Roman" w:hAnsi="Times New Roman"/>
                <w:lang w:val="id-ID"/>
              </w:rPr>
            </w:pPr>
            <w:r w:rsidRPr="00923AD2">
              <w:rPr>
                <w:rFonts w:ascii="Times New Roman" w:hAnsi="Times New Roman"/>
              </w:rPr>
              <w:t>Revised</w:t>
            </w:r>
            <w:r>
              <w:rPr>
                <w:rFonts w:ascii="Times New Roman" w:hAnsi="Times New Roman"/>
                <w:lang w:val="id-ID"/>
              </w:rPr>
              <w:t xml:space="preserve">:    </w:t>
            </w:r>
          </w:p>
          <w:p w14:paraId="5DF93D9A" w14:textId="77777777" w:rsidR="005F5E72" w:rsidRPr="00564C97" w:rsidRDefault="005F5E72" w:rsidP="00105BB9">
            <w:pPr>
              <w:pStyle w:val="Articlehistory"/>
              <w:rPr>
                <w:rFonts w:ascii="Times New Roman" w:hAnsi="Times New Roman"/>
                <w:i/>
                <w:lang w:val="id-ID"/>
              </w:rPr>
            </w:pPr>
            <w:r w:rsidRPr="000D3CBE">
              <w:rPr>
                <w:rFonts w:ascii="Times New Roman" w:hAnsi="Times New Roman"/>
              </w:rPr>
              <w:t>Accepted</w:t>
            </w:r>
            <w:r>
              <w:rPr>
                <w:rFonts w:ascii="Times New Roman" w:hAnsi="Times New Roman"/>
                <w:lang w:val="id-ID"/>
              </w:rPr>
              <w:t xml:space="preserve">: </w:t>
            </w:r>
          </w:p>
        </w:tc>
        <w:tc>
          <w:tcPr>
            <w:tcW w:w="283" w:type="dxa"/>
            <w:tcBorders>
              <w:top w:val="nil"/>
              <w:bottom w:val="nil"/>
            </w:tcBorders>
          </w:tcPr>
          <w:p w14:paraId="3DBD26E5" w14:textId="77777777" w:rsidR="005F5E72" w:rsidRPr="00923AD2" w:rsidRDefault="005F5E72" w:rsidP="00105BB9">
            <w:pPr>
              <w:pStyle w:val="AbstractText"/>
              <w:ind w:right="144"/>
            </w:pPr>
          </w:p>
        </w:tc>
        <w:tc>
          <w:tcPr>
            <w:tcW w:w="6392" w:type="dxa"/>
            <w:vMerge w:val="restart"/>
            <w:tcBorders>
              <w:top w:val="single" w:sz="12" w:space="0" w:color="5B9BD5"/>
              <w:bottom w:val="single" w:sz="8" w:space="0" w:color="auto"/>
              <w:right w:val="nil"/>
            </w:tcBorders>
            <w:shd w:val="clear" w:color="auto" w:fill="F7CAAC"/>
            <w:tcMar>
              <w:left w:w="240" w:type="dxa"/>
            </w:tcMar>
          </w:tcPr>
          <w:p w14:paraId="6E4F83A9" w14:textId="58B20AF1" w:rsidR="004D3354" w:rsidRPr="004D3354" w:rsidRDefault="004D3354" w:rsidP="004D3354">
            <w:pPr>
              <w:jc w:val="both"/>
              <w:rPr>
                <w:rStyle w:val="FollowedHyperlink"/>
                <w:rFonts w:ascii="Times New Roman" w:hAnsi="Times New Roman"/>
                <w:i/>
                <w:color w:val="auto"/>
                <w:u w:val="none"/>
                <w:lang w:val="en-GB"/>
              </w:rPr>
            </w:pPr>
            <w:r w:rsidRPr="004D3354">
              <w:rPr>
                <w:rStyle w:val="FollowedHyperlink"/>
                <w:rFonts w:ascii="Times New Roman" w:eastAsia="MS Mincho" w:hAnsi="Times New Roman"/>
                <w:i/>
                <w:color w:val="auto"/>
                <w:u w:val="none"/>
                <w:lang w:val="en-GB"/>
              </w:rPr>
              <w:t>Regional expansion</w:t>
            </w:r>
            <w:r w:rsidRPr="004D3354">
              <w:rPr>
                <w:rStyle w:val="FollowedHyperlink"/>
                <w:rFonts w:ascii="Times New Roman" w:hAnsi="Times New Roman"/>
                <w:i/>
                <w:color w:val="auto"/>
                <w:u w:val="none"/>
                <w:lang w:val="en-GB"/>
              </w:rPr>
              <w:t xml:space="preserve"> is the process of dividing an administrative area into multiple regions to enhance public services and accelerate regional development. It is expected to foster regional independence, which is a key factor in the success of regional autonomy.</w:t>
            </w:r>
            <w:r>
              <w:rPr>
                <w:rStyle w:val="FollowedHyperlink"/>
                <w:rFonts w:ascii="Times New Roman" w:hAnsi="Times New Roman"/>
                <w:i/>
                <w:color w:val="auto"/>
                <w:u w:val="none"/>
                <w:lang w:val="id-ID"/>
              </w:rPr>
              <w:t xml:space="preserve"> </w:t>
            </w:r>
            <w:r w:rsidRPr="004D3354">
              <w:rPr>
                <w:rStyle w:val="FollowedHyperlink"/>
                <w:rFonts w:ascii="Times New Roman" w:hAnsi="Times New Roman"/>
                <w:i/>
                <w:color w:val="auto"/>
                <w:u w:val="none"/>
                <w:lang w:val="en-GB"/>
              </w:rPr>
              <w:t xml:space="preserve">This study aims to examine the legal framework governing the expansion of </w:t>
            </w:r>
            <w:proofErr w:type="spellStart"/>
            <w:r w:rsidRPr="004D3354">
              <w:rPr>
                <w:rStyle w:val="FollowedHyperlink"/>
                <w:rFonts w:ascii="Times New Roman" w:hAnsi="Times New Roman"/>
                <w:i/>
                <w:color w:val="auto"/>
                <w:u w:val="none"/>
                <w:lang w:val="en-GB"/>
              </w:rPr>
              <w:t>Monta</w:t>
            </w:r>
            <w:proofErr w:type="spellEnd"/>
            <w:r w:rsidRPr="004D3354">
              <w:rPr>
                <w:rStyle w:val="FollowedHyperlink"/>
                <w:rFonts w:ascii="Times New Roman" w:hAnsi="Times New Roman"/>
                <w:i/>
                <w:color w:val="auto"/>
                <w:u w:val="none"/>
                <w:lang w:val="en-GB"/>
              </w:rPr>
              <w:t xml:space="preserve"> District, </w:t>
            </w:r>
            <w:proofErr w:type="spellStart"/>
            <w:r w:rsidRPr="004D3354">
              <w:rPr>
                <w:rStyle w:val="FollowedHyperlink"/>
                <w:rFonts w:ascii="Times New Roman" w:hAnsi="Times New Roman"/>
                <w:i/>
                <w:color w:val="auto"/>
                <w:u w:val="none"/>
                <w:lang w:val="en-GB"/>
              </w:rPr>
              <w:t>Bima</w:t>
            </w:r>
            <w:proofErr w:type="spellEnd"/>
            <w:r w:rsidRPr="004D3354">
              <w:rPr>
                <w:rStyle w:val="FollowedHyperlink"/>
                <w:rFonts w:ascii="Times New Roman" w:hAnsi="Times New Roman"/>
                <w:i/>
                <w:color w:val="auto"/>
                <w:u w:val="none"/>
                <w:lang w:val="en-GB"/>
              </w:rPr>
              <w:t xml:space="preserve"> Regency, and to </w:t>
            </w:r>
            <w:proofErr w:type="spellStart"/>
            <w:r w:rsidRPr="004D3354">
              <w:rPr>
                <w:rStyle w:val="FollowedHyperlink"/>
                <w:rFonts w:ascii="Times New Roman" w:hAnsi="Times New Roman"/>
                <w:i/>
                <w:color w:val="auto"/>
                <w:u w:val="none"/>
                <w:lang w:val="en-GB"/>
              </w:rPr>
              <w:t>analyze</w:t>
            </w:r>
            <w:proofErr w:type="spellEnd"/>
            <w:r w:rsidRPr="004D3354">
              <w:rPr>
                <w:rStyle w:val="FollowedHyperlink"/>
                <w:rFonts w:ascii="Times New Roman" w:hAnsi="Times New Roman"/>
                <w:i/>
                <w:color w:val="auto"/>
                <w:u w:val="none"/>
                <w:lang w:val="en-GB"/>
              </w:rPr>
              <w:t xml:space="preserve"> the challenges and efforts related to its division into two new districts: North </w:t>
            </w:r>
            <w:proofErr w:type="spellStart"/>
            <w:r w:rsidRPr="004D3354">
              <w:rPr>
                <w:rStyle w:val="FollowedHyperlink"/>
                <w:rFonts w:ascii="Times New Roman" w:hAnsi="Times New Roman"/>
                <w:i/>
                <w:color w:val="auto"/>
                <w:u w:val="none"/>
                <w:lang w:val="en-GB"/>
              </w:rPr>
              <w:t>Monta</w:t>
            </w:r>
            <w:proofErr w:type="spellEnd"/>
            <w:r w:rsidRPr="004D3354">
              <w:rPr>
                <w:rStyle w:val="FollowedHyperlink"/>
                <w:rFonts w:ascii="Times New Roman" w:hAnsi="Times New Roman"/>
                <w:i/>
                <w:color w:val="auto"/>
                <w:u w:val="none"/>
                <w:lang w:val="en-GB"/>
              </w:rPr>
              <w:t xml:space="preserve"> and South </w:t>
            </w:r>
            <w:proofErr w:type="spellStart"/>
            <w:r w:rsidRPr="004D3354">
              <w:rPr>
                <w:rStyle w:val="FollowedHyperlink"/>
                <w:rFonts w:ascii="Times New Roman" w:hAnsi="Times New Roman"/>
                <w:i/>
                <w:color w:val="auto"/>
                <w:u w:val="none"/>
                <w:lang w:val="en-GB"/>
              </w:rPr>
              <w:t>Monta</w:t>
            </w:r>
            <w:proofErr w:type="spellEnd"/>
            <w:r w:rsidRPr="004D3354">
              <w:rPr>
                <w:rStyle w:val="FollowedHyperlink"/>
                <w:rFonts w:ascii="Times New Roman" w:hAnsi="Times New Roman"/>
                <w:i/>
                <w:color w:val="auto"/>
                <w:u w:val="none"/>
                <w:lang w:val="en-GB"/>
              </w:rPr>
              <w:t>. Furthermore, this research seeks to highlight that the establishment of new districts is a crucial policy reflecting the aspirations of the local community.</w:t>
            </w:r>
            <w:r>
              <w:rPr>
                <w:rStyle w:val="FollowedHyperlink"/>
                <w:rFonts w:ascii="Times New Roman" w:hAnsi="Times New Roman"/>
                <w:i/>
                <w:color w:val="auto"/>
                <w:u w:val="none"/>
                <w:lang w:val="id-ID"/>
              </w:rPr>
              <w:t xml:space="preserve"> </w:t>
            </w:r>
            <w:r w:rsidRPr="004D3354">
              <w:rPr>
                <w:rStyle w:val="FollowedHyperlink"/>
                <w:rFonts w:ascii="Times New Roman" w:hAnsi="Times New Roman"/>
                <w:i/>
                <w:color w:val="auto"/>
                <w:u w:val="none"/>
                <w:lang w:val="en-GB"/>
              </w:rPr>
              <w:t xml:space="preserve">A </w:t>
            </w:r>
            <w:r w:rsidRPr="004D3354">
              <w:rPr>
                <w:rStyle w:val="FollowedHyperlink"/>
                <w:rFonts w:ascii="Times New Roman" w:eastAsia="MS Mincho" w:hAnsi="Times New Roman"/>
                <w:i/>
                <w:color w:val="auto"/>
                <w:u w:val="none"/>
                <w:lang w:val="en-GB"/>
              </w:rPr>
              <w:t>normative legal research</w:t>
            </w:r>
            <w:r w:rsidRPr="004D3354">
              <w:rPr>
                <w:rStyle w:val="FollowedHyperlink"/>
                <w:rFonts w:ascii="Times New Roman" w:hAnsi="Times New Roman"/>
                <w:i/>
                <w:color w:val="auto"/>
                <w:u w:val="none"/>
                <w:lang w:val="en-GB"/>
              </w:rPr>
              <w:t xml:space="preserve"> (doctrinal) approach is employed in this study, incorporating a </w:t>
            </w:r>
            <w:r w:rsidRPr="004D3354">
              <w:rPr>
                <w:rStyle w:val="FollowedHyperlink"/>
                <w:rFonts w:ascii="Times New Roman" w:eastAsia="MS Mincho" w:hAnsi="Times New Roman"/>
                <w:i/>
                <w:color w:val="auto"/>
                <w:u w:val="none"/>
                <w:lang w:val="en-GB"/>
              </w:rPr>
              <w:t>conceptual approach</w:t>
            </w:r>
            <w:r w:rsidRPr="004D3354">
              <w:rPr>
                <w:rStyle w:val="FollowedHyperlink"/>
                <w:rFonts w:ascii="Times New Roman" w:hAnsi="Times New Roman"/>
                <w:i/>
                <w:color w:val="auto"/>
                <w:u w:val="none"/>
                <w:lang w:val="en-GB"/>
              </w:rPr>
              <w:t xml:space="preserve"> as well as a </w:t>
            </w:r>
            <w:r w:rsidRPr="004D3354">
              <w:rPr>
                <w:rStyle w:val="FollowedHyperlink"/>
                <w:rFonts w:ascii="Times New Roman" w:eastAsia="MS Mincho" w:hAnsi="Times New Roman"/>
                <w:i/>
                <w:color w:val="auto"/>
                <w:u w:val="none"/>
                <w:lang w:val="en-GB"/>
              </w:rPr>
              <w:t>statutory approach</w:t>
            </w:r>
            <w:r w:rsidRPr="004D3354">
              <w:rPr>
                <w:rStyle w:val="FollowedHyperlink"/>
                <w:rFonts w:ascii="Times New Roman" w:hAnsi="Times New Roman"/>
                <w:i/>
                <w:color w:val="auto"/>
                <w:u w:val="none"/>
                <w:lang w:val="en-GB"/>
              </w:rPr>
              <w:t xml:space="preserve">. The data used consists of </w:t>
            </w:r>
            <w:r w:rsidRPr="004D3354">
              <w:rPr>
                <w:rStyle w:val="FollowedHyperlink"/>
                <w:rFonts w:ascii="Times New Roman" w:eastAsia="MS Mincho" w:hAnsi="Times New Roman"/>
                <w:i/>
                <w:color w:val="auto"/>
                <w:u w:val="none"/>
                <w:lang w:val="en-GB"/>
              </w:rPr>
              <w:t>secondary sources</w:t>
            </w:r>
            <w:r w:rsidRPr="004D3354">
              <w:rPr>
                <w:rStyle w:val="FollowedHyperlink"/>
                <w:rFonts w:ascii="Times New Roman" w:hAnsi="Times New Roman"/>
                <w:i/>
                <w:color w:val="auto"/>
                <w:u w:val="none"/>
                <w:lang w:val="en-GB"/>
              </w:rPr>
              <w:t xml:space="preserve">, which are </w:t>
            </w:r>
            <w:proofErr w:type="spellStart"/>
            <w:r w:rsidRPr="004D3354">
              <w:rPr>
                <w:rStyle w:val="FollowedHyperlink"/>
                <w:rFonts w:ascii="Times New Roman" w:hAnsi="Times New Roman"/>
                <w:i/>
                <w:color w:val="auto"/>
                <w:u w:val="none"/>
                <w:lang w:val="en-GB"/>
              </w:rPr>
              <w:t>analyzed</w:t>
            </w:r>
            <w:proofErr w:type="spellEnd"/>
            <w:r w:rsidRPr="004D3354">
              <w:rPr>
                <w:rStyle w:val="FollowedHyperlink"/>
                <w:rFonts w:ascii="Times New Roman" w:hAnsi="Times New Roman"/>
                <w:i/>
                <w:color w:val="auto"/>
                <w:u w:val="none"/>
                <w:lang w:val="en-GB"/>
              </w:rPr>
              <w:t xml:space="preserve"> qualitatively. In discussing legal issues, a </w:t>
            </w:r>
            <w:r w:rsidRPr="004D3354">
              <w:rPr>
                <w:rStyle w:val="FollowedHyperlink"/>
                <w:rFonts w:ascii="Times New Roman" w:eastAsia="MS Mincho" w:hAnsi="Times New Roman"/>
                <w:i/>
                <w:color w:val="auto"/>
                <w:u w:val="none"/>
                <w:lang w:val="en-GB"/>
              </w:rPr>
              <w:t>juridical method</w:t>
            </w:r>
            <w:r w:rsidRPr="004D3354">
              <w:rPr>
                <w:rStyle w:val="FollowedHyperlink"/>
                <w:rFonts w:ascii="Times New Roman" w:hAnsi="Times New Roman"/>
                <w:i/>
                <w:color w:val="auto"/>
                <w:u w:val="none"/>
                <w:lang w:val="en-GB"/>
              </w:rPr>
              <w:t xml:space="preserve"> is applied, requiring adherence to the fundamental legal principles established within the relevant legal system.</w:t>
            </w:r>
            <w:r>
              <w:rPr>
                <w:rStyle w:val="FollowedHyperlink"/>
                <w:rFonts w:ascii="Times New Roman" w:hAnsi="Times New Roman"/>
                <w:i/>
                <w:color w:val="auto"/>
                <w:u w:val="none"/>
                <w:lang w:val="id-ID"/>
              </w:rPr>
              <w:t xml:space="preserve"> </w:t>
            </w:r>
            <w:r w:rsidRPr="004D3354">
              <w:rPr>
                <w:rStyle w:val="FollowedHyperlink"/>
                <w:rFonts w:ascii="Times New Roman" w:hAnsi="Times New Roman"/>
                <w:i/>
                <w:color w:val="auto"/>
                <w:u w:val="none"/>
                <w:lang w:val="en-GB"/>
              </w:rPr>
              <w:t xml:space="preserve">The findings of this study indicate that district expansion is a significant objective; however, it cannot be successfully implemented without thorough preparation. The execution of the expansion plan must comply with the requirements outlined in </w:t>
            </w:r>
            <w:r w:rsidRPr="004D3354">
              <w:rPr>
                <w:rStyle w:val="FollowedHyperlink"/>
                <w:rFonts w:ascii="Times New Roman" w:eastAsia="MS Mincho" w:hAnsi="Times New Roman"/>
                <w:i/>
                <w:color w:val="auto"/>
                <w:u w:val="none"/>
                <w:lang w:val="en-GB"/>
              </w:rPr>
              <w:t>Government Regulation (PP) Number 17 of 2018 on Districts</w:t>
            </w:r>
            <w:r w:rsidRPr="004D3354">
              <w:rPr>
                <w:rStyle w:val="FollowedHyperlink"/>
                <w:rFonts w:ascii="Times New Roman" w:hAnsi="Times New Roman"/>
                <w:i/>
                <w:color w:val="auto"/>
                <w:u w:val="none"/>
                <w:lang w:val="en-GB"/>
              </w:rPr>
              <w:t xml:space="preserve">. Furthermore, the procedures for district formation are stipulated in </w:t>
            </w:r>
            <w:r w:rsidRPr="004D3354">
              <w:rPr>
                <w:rStyle w:val="FollowedHyperlink"/>
                <w:rFonts w:ascii="Times New Roman" w:eastAsia="MS Mincho" w:hAnsi="Times New Roman"/>
                <w:i/>
                <w:color w:val="auto"/>
                <w:u w:val="none"/>
                <w:lang w:val="en-GB"/>
              </w:rPr>
              <w:t>Article 221, Paragraph (1) of Law Number 23 of 2014 on Local Government</w:t>
            </w:r>
            <w:r w:rsidRPr="004D3354">
              <w:rPr>
                <w:rStyle w:val="FollowedHyperlink"/>
                <w:rFonts w:ascii="Times New Roman" w:hAnsi="Times New Roman"/>
                <w:i/>
                <w:color w:val="auto"/>
                <w:u w:val="none"/>
                <w:lang w:val="en-GB"/>
              </w:rPr>
              <w:t>.</w:t>
            </w:r>
          </w:p>
          <w:p w14:paraId="1C89F2E4" w14:textId="08F2550D" w:rsidR="00476381" w:rsidRPr="004D3354" w:rsidRDefault="00476381" w:rsidP="00476381">
            <w:pPr>
              <w:jc w:val="both"/>
              <w:rPr>
                <w:rStyle w:val="FollowedHyperlink"/>
                <w:rFonts w:ascii="Times New Roman" w:hAnsi="Times New Roman"/>
                <w:bCs/>
                <w:iCs/>
                <w:color w:val="auto"/>
                <w:u w:val="none"/>
              </w:rPr>
            </w:pPr>
            <w:r w:rsidRPr="004D3354">
              <w:rPr>
                <w:rStyle w:val="FollowedHyperlink"/>
                <w:rFonts w:ascii="Times New Roman" w:hAnsi="Times New Roman"/>
                <w:i/>
                <w:color w:val="auto"/>
                <w:u w:val="none"/>
                <w:lang w:val="en-GB"/>
              </w:rPr>
              <w:t xml:space="preserve"> </w:t>
            </w:r>
          </w:p>
          <w:p w14:paraId="7337C42E" w14:textId="5428B815" w:rsidR="005F5E72" w:rsidRDefault="009658B7" w:rsidP="00105BB9">
            <w:pPr>
              <w:pStyle w:val="Copyright0"/>
              <w:framePr w:hSpace="0" w:wrap="auto" w:vAnchor="margin" w:yAlign="inline"/>
              <w:ind w:right="149"/>
              <w:suppressOverlap w:val="0"/>
              <w:jc w:val="left"/>
              <w:rPr>
                <w:sz w:val="20"/>
                <w:szCs w:val="20"/>
              </w:rPr>
            </w:pPr>
            <w:r>
              <w:rPr>
                <w:noProof/>
              </w:rPr>
              <w:t xml:space="preserve">          </w:t>
            </w:r>
            <w:r w:rsidR="005F5E72" w:rsidRPr="00923AD2">
              <w:rPr>
                <w:sz w:val="20"/>
                <w:szCs w:val="20"/>
              </w:rPr>
              <w:t xml:space="preserve">This is an open access article under the </w:t>
            </w:r>
            <w:hyperlink r:id="rId9" w:history="1">
              <w:r w:rsidR="005F5E72" w:rsidRPr="00BB139A">
                <w:rPr>
                  <w:rStyle w:val="Hyperlink"/>
                  <w:sz w:val="20"/>
                  <w:szCs w:val="20"/>
                  <w:u w:val="none"/>
                </w:rPr>
                <w:t>CC–BY</w:t>
              </w:r>
              <w:r w:rsidR="004B3B92">
                <w:rPr>
                  <w:rStyle w:val="Hyperlink"/>
                  <w:sz w:val="20"/>
                  <w:szCs w:val="20"/>
                  <w:u w:val="none"/>
                </w:rPr>
                <w:t>-</w:t>
              </w:r>
              <w:r w:rsidR="004B3B92">
                <w:rPr>
                  <w:rStyle w:val="Hyperlink"/>
                </w:rPr>
                <w:t>SA</w:t>
              </w:r>
              <w:r w:rsidR="005F5E72" w:rsidRPr="00BB139A">
                <w:rPr>
                  <w:rStyle w:val="Hyperlink"/>
                  <w:sz w:val="20"/>
                  <w:szCs w:val="20"/>
                  <w:u w:val="none"/>
                </w:rPr>
                <w:t xml:space="preserve"> 4.0</w:t>
              </w:r>
            </w:hyperlink>
            <w:r w:rsidR="005F5E72">
              <w:rPr>
                <w:sz w:val="20"/>
                <w:szCs w:val="20"/>
              </w:rPr>
              <w:t xml:space="preserve"> </w:t>
            </w:r>
            <w:r w:rsidR="005F5E72" w:rsidRPr="00923AD2">
              <w:rPr>
                <w:sz w:val="20"/>
                <w:szCs w:val="20"/>
              </w:rPr>
              <w:t>license.</w:t>
            </w:r>
          </w:p>
          <w:p w14:paraId="4293A834" w14:textId="7B5C0CB9" w:rsidR="004B3B92" w:rsidRDefault="007D2186" w:rsidP="00105BB9">
            <w:pPr>
              <w:pStyle w:val="Copyright0"/>
              <w:framePr w:hSpace="0" w:wrap="auto" w:vAnchor="margin" w:yAlign="inline"/>
              <w:ind w:right="149"/>
              <w:suppressOverlap w:val="0"/>
              <w:jc w:val="left"/>
              <w:rPr>
                <w:sz w:val="20"/>
                <w:szCs w:val="20"/>
              </w:rPr>
            </w:pPr>
            <w:r>
              <w:rPr>
                <w:noProof/>
                <w:lang w:val="id-ID" w:eastAsia="id-ID"/>
              </w:rPr>
              <w:drawing>
                <wp:anchor distT="0" distB="0" distL="114300" distR="114300" simplePos="0" relativeHeight="251657728" behindDoc="0" locked="0" layoutInCell="1" allowOverlap="1" wp14:anchorId="4C1EA194" wp14:editId="782D4279">
                  <wp:simplePos x="0" y="0"/>
                  <wp:positionH relativeFrom="margin">
                    <wp:posOffset>2843530</wp:posOffset>
                  </wp:positionH>
                  <wp:positionV relativeFrom="paragraph">
                    <wp:posOffset>43180</wp:posOffset>
                  </wp:positionV>
                  <wp:extent cx="838200" cy="299085"/>
                  <wp:effectExtent l="0" t="0" r="0" b="5715"/>
                  <wp:wrapNone/>
                  <wp:docPr id="9"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9085"/>
                          </a:xfrm>
                          <a:prstGeom prst="rect">
                            <a:avLst/>
                          </a:prstGeom>
                          <a:noFill/>
                        </pic:spPr>
                      </pic:pic>
                    </a:graphicData>
                  </a:graphic>
                  <wp14:sizeRelH relativeFrom="page">
                    <wp14:pctWidth>0</wp14:pctWidth>
                  </wp14:sizeRelH>
                  <wp14:sizeRelV relativeFrom="page">
                    <wp14:pctHeight>0</wp14:pctHeight>
                  </wp14:sizeRelV>
                </wp:anchor>
              </w:drawing>
            </w:r>
          </w:p>
          <w:p w14:paraId="4ED79F2D" w14:textId="77777777" w:rsidR="004D3354" w:rsidRPr="00923AD2" w:rsidRDefault="004D3354" w:rsidP="00105BB9">
            <w:pPr>
              <w:pStyle w:val="Copyright0"/>
              <w:framePr w:hSpace="0" w:wrap="auto" w:vAnchor="margin" w:yAlign="inline"/>
              <w:ind w:right="149"/>
              <w:suppressOverlap w:val="0"/>
              <w:jc w:val="left"/>
              <w:rPr>
                <w:sz w:val="20"/>
                <w:szCs w:val="20"/>
              </w:rPr>
            </w:pPr>
          </w:p>
          <w:p w14:paraId="35A8B9D8" w14:textId="77777777" w:rsidR="005F5E72" w:rsidRPr="00923AD2" w:rsidRDefault="005F5E72" w:rsidP="00105BB9">
            <w:pPr>
              <w:pStyle w:val="Copyright0"/>
              <w:framePr w:hSpace="0" w:wrap="auto" w:vAnchor="margin" w:yAlign="inline"/>
              <w:ind w:right="144"/>
              <w:suppressOverlap w:val="0"/>
              <w:jc w:val="left"/>
              <w:rPr>
                <w:sz w:val="20"/>
                <w:szCs w:val="20"/>
              </w:rPr>
            </w:pPr>
          </w:p>
        </w:tc>
        <w:tc>
          <w:tcPr>
            <w:tcW w:w="133" w:type="dxa"/>
            <w:vMerge w:val="restart"/>
            <w:tcBorders>
              <w:top w:val="single" w:sz="12" w:space="0" w:color="ED7D31"/>
              <w:left w:val="nil"/>
              <w:bottom w:val="single" w:sz="12" w:space="0" w:color="ED7D31"/>
            </w:tcBorders>
            <w:shd w:val="clear" w:color="auto" w:fill="F7CAAC"/>
          </w:tcPr>
          <w:p w14:paraId="24EE5CFA" w14:textId="77777777" w:rsidR="005F5E72" w:rsidRPr="00923AD2" w:rsidRDefault="005F5E72" w:rsidP="00105BB9">
            <w:pPr>
              <w:pStyle w:val="AbstractText"/>
            </w:pPr>
          </w:p>
        </w:tc>
      </w:tr>
      <w:tr w:rsidR="00E90949" w:rsidRPr="00923AD2" w14:paraId="64A29116" w14:textId="77777777" w:rsidTr="004D3354">
        <w:trPr>
          <w:cantSplit/>
          <w:trHeight w:val="1427"/>
        </w:trPr>
        <w:tc>
          <w:tcPr>
            <w:tcW w:w="1985" w:type="dxa"/>
            <w:tcBorders>
              <w:top w:val="single" w:sz="12" w:space="0" w:color="5B9BD5"/>
              <w:bottom w:val="single" w:sz="12" w:space="0" w:color="5B9BD5"/>
            </w:tcBorders>
            <w:tcMar>
              <w:top w:w="72" w:type="dxa"/>
              <w:left w:w="0" w:type="dxa"/>
            </w:tcMar>
          </w:tcPr>
          <w:p w14:paraId="0CB686BD" w14:textId="77777777" w:rsidR="005F5E72" w:rsidRPr="00923AD2" w:rsidRDefault="005F5E72" w:rsidP="00105BB9">
            <w:pPr>
              <w:pStyle w:val="KeywordHead"/>
              <w:rPr>
                <w:rFonts w:ascii="Times New Roman" w:hAnsi="Times New Roman"/>
                <w:b/>
              </w:rPr>
            </w:pPr>
          </w:p>
          <w:p w14:paraId="515BC9F0" w14:textId="77777777" w:rsidR="005F5E72" w:rsidRPr="00923AD2" w:rsidRDefault="005F5E72" w:rsidP="00105BB9">
            <w:pPr>
              <w:pStyle w:val="Keyword"/>
              <w:rPr>
                <w:rFonts w:ascii="Times New Roman" w:hAnsi="Times New Roman"/>
                <w:b/>
              </w:rPr>
            </w:pPr>
            <w:r w:rsidRPr="00923AD2">
              <w:rPr>
                <w:rFonts w:ascii="Times New Roman" w:hAnsi="Times New Roman"/>
                <w:b/>
              </w:rPr>
              <w:t>Keywords</w:t>
            </w:r>
          </w:p>
          <w:p w14:paraId="1E3B396C" w14:textId="77777777" w:rsidR="009658B7" w:rsidRPr="009658B7" w:rsidRDefault="009658B7" w:rsidP="005F5E72">
            <w:pPr>
              <w:pStyle w:val="Keyword"/>
              <w:rPr>
                <w:rFonts w:ascii="Times New Roman" w:hAnsi="Times New Roman"/>
              </w:rPr>
            </w:pPr>
            <w:r w:rsidRPr="009658B7">
              <w:rPr>
                <w:rFonts w:ascii="Times New Roman" w:hAnsi="Times New Roman"/>
              </w:rPr>
              <w:t xml:space="preserve">Legal Analysis </w:t>
            </w:r>
          </w:p>
          <w:p w14:paraId="71A7FE0E" w14:textId="77777777" w:rsidR="00543EAF" w:rsidRDefault="00376412" w:rsidP="005F5E72">
            <w:pPr>
              <w:pStyle w:val="Keyword"/>
              <w:rPr>
                <w:rFonts w:ascii="Times New Roman" w:hAnsi="Times New Roman"/>
              </w:rPr>
            </w:pPr>
            <w:r w:rsidRPr="00543EAF">
              <w:rPr>
                <w:rFonts w:ascii="Times New Roman" w:hAnsi="Times New Roman"/>
              </w:rPr>
              <w:t>Local Government Regulations</w:t>
            </w:r>
            <w:r w:rsidRPr="00923AD2">
              <w:rPr>
                <w:rFonts w:ascii="Times New Roman" w:hAnsi="Times New Roman"/>
              </w:rPr>
              <w:t xml:space="preserve"> </w:t>
            </w:r>
            <w:r>
              <w:t xml:space="preserve"> </w:t>
            </w:r>
            <w:r w:rsidRPr="00543EAF">
              <w:rPr>
                <w:rFonts w:ascii="Times New Roman" w:hAnsi="Times New Roman"/>
              </w:rPr>
              <w:t>District Expansion</w:t>
            </w:r>
            <w:r w:rsidRPr="00923AD2">
              <w:rPr>
                <w:rFonts w:ascii="Times New Roman" w:hAnsi="Times New Roman"/>
              </w:rPr>
              <w:t xml:space="preserve"> </w:t>
            </w:r>
          </w:p>
          <w:p w14:paraId="4D02DB1C" w14:textId="77777777" w:rsidR="00543EAF" w:rsidRDefault="00543EAF" w:rsidP="005F5E72">
            <w:pPr>
              <w:pStyle w:val="Keyword"/>
              <w:rPr>
                <w:rFonts w:ascii="Times New Roman" w:hAnsi="Times New Roman"/>
              </w:rPr>
            </w:pPr>
            <w:proofErr w:type="spellStart"/>
            <w:r w:rsidRPr="00543EAF">
              <w:rPr>
                <w:rFonts w:ascii="Times New Roman" w:hAnsi="Times New Roman"/>
              </w:rPr>
              <w:t>Monta</w:t>
            </w:r>
            <w:proofErr w:type="spellEnd"/>
            <w:r w:rsidRPr="00543EAF">
              <w:rPr>
                <w:rFonts w:ascii="Times New Roman" w:hAnsi="Times New Roman"/>
              </w:rPr>
              <w:t xml:space="preserve"> District</w:t>
            </w:r>
            <w:r w:rsidRPr="00923AD2">
              <w:rPr>
                <w:rFonts w:ascii="Times New Roman" w:hAnsi="Times New Roman"/>
              </w:rPr>
              <w:t xml:space="preserve"> </w:t>
            </w:r>
          </w:p>
          <w:p w14:paraId="02EF3C5B" w14:textId="77777777" w:rsidR="005F5E72" w:rsidRPr="00923AD2" w:rsidRDefault="005F5E72" w:rsidP="00543EAF">
            <w:pPr>
              <w:pStyle w:val="Keyword"/>
              <w:rPr>
                <w:rFonts w:ascii="Times New Roman" w:hAnsi="Times New Roman"/>
              </w:rPr>
            </w:pPr>
          </w:p>
        </w:tc>
        <w:tc>
          <w:tcPr>
            <w:tcW w:w="283" w:type="dxa"/>
            <w:tcBorders>
              <w:top w:val="nil"/>
              <w:bottom w:val="single" w:sz="12" w:space="0" w:color="5B9BD5"/>
            </w:tcBorders>
          </w:tcPr>
          <w:p w14:paraId="2EEB25AF" w14:textId="77777777" w:rsidR="005F5E72" w:rsidRPr="00923AD2" w:rsidRDefault="005F5E72" w:rsidP="00105BB9">
            <w:pPr>
              <w:spacing w:after="80" w:line="200" w:lineRule="exact"/>
              <w:rPr>
                <w:rFonts w:ascii="Times New Roman" w:hAnsi="Times New Roman"/>
              </w:rPr>
            </w:pPr>
          </w:p>
        </w:tc>
        <w:tc>
          <w:tcPr>
            <w:tcW w:w="6392" w:type="dxa"/>
            <w:vMerge/>
            <w:tcBorders>
              <w:top w:val="nil"/>
              <w:bottom w:val="single" w:sz="12" w:space="0" w:color="5B9BD5"/>
              <w:right w:val="nil"/>
            </w:tcBorders>
            <w:shd w:val="clear" w:color="auto" w:fill="F7CAAC"/>
          </w:tcPr>
          <w:p w14:paraId="0E116E04" w14:textId="77777777" w:rsidR="005F5E72" w:rsidRPr="00923AD2" w:rsidRDefault="005F5E72" w:rsidP="00105BB9">
            <w:pPr>
              <w:spacing w:after="80" w:line="200" w:lineRule="exact"/>
              <w:rPr>
                <w:rFonts w:ascii="Times New Roman" w:hAnsi="Times New Roman"/>
                <w:sz w:val="20"/>
                <w:szCs w:val="20"/>
              </w:rPr>
            </w:pPr>
          </w:p>
        </w:tc>
        <w:tc>
          <w:tcPr>
            <w:tcW w:w="133" w:type="dxa"/>
            <w:vMerge/>
            <w:tcBorders>
              <w:top w:val="nil"/>
              <w:left w:val="nil"/>
              <w:bottom w:val="single" w:sz="12" w:space="0" w:color="5B9BD5"/>
            </w:tcBorders>
            <w:shd w:val="clear" w:color="auto" w:fill="F7CAAC"/>
          </w:tcPr>
          <w:p w14:paraId="4DB645DA" w14:textId="77777777" w:rsidR="005F5E72" w:rsidRPr="00923AD2" w:rsidRDefault="005F5E72" w:rsidP="00105BB9">
            <w:pPr>
              <w:spacing w:after="80" w:line="200" w:lineRule="exact"/>
              <w:rPr>
                <w:rFonts w:ascii="Times New Roman" w:hAnsi="Times New Roman"/>
                <w:sz w:val="20"/>
                <w:szCs w:val="20"/>
              </w:rPr>
            </w:pPr>
          </w:p>
        </w:tc>
      </w:tr>
    </w:tbl>
    <w:p w14:paraId="4BA4F17A" w14:textId="6FC2B5F5" w:rsidR="00537B9A" w:rsidRDefault="00537B9A" w:rsidP="00537B9A">
      <w:pPr>
        <w:pStyle w:val="Heading1"/>
      </w:pPr>
      <w:r w:rsidRPr="00923AD2">
        <w:lastRenderedPageBreak/>
        <w:t xml:space="preserve">Introduction </w:t>
      </w:r>
    </w:p>
    <w:p w14:paraId="57635F65" w14:textId="346EAE38" w:rsidR="007A6115" w:rsidRPr="00295D1F" w:rsidRDefault="00295D1F" w:rsidP="00295D1F">
      <w:pPr>
        <w:pStyle w:val="ListParagraph"/>
        <w:spacing w:before="120" w:line="288" w:lineRule="auto"/>
        <w:ind w:left="0" w:firstLine="567"/>
        <w:contextualSpacing w:val="0"/>
        <w:jc w:val="both"/>
      </w:pPr>
      <w:r>
        <w:t>The need for sub-district expansion policies serves as a strategic measure undertaken by the government to enhance the quality of governmental duties, particularly in terms of public service delivery, empowerment, and development, aiming to establish a more advanced, independent, prosperous, fair, and affluent society. Furthermore, territorial expansion also seeks to improve public service accessibility provided by local governments to their communities, ensuring that existing potentials are managed more effectively and efficiently</w:t>
      </w:r>
      <w:r w:rsidR="001860DB">
        <w:rPr>
          <w:lang w:val="id-ID"/>
        </w:rPr>
        <w:t>.</w:t>
      </w:r>
      <w:r w:rsidR="007A6115" w:rsidRPr="007A6115">
        <w:rPr>
          <w:rStyle w:val="FootnoteReference"/>
          <w:rFonts w:eastAsia="MS Mincho"/>
        </w:rPr>
        <w:footnoteReference w:id="1"/>
      </w:r>
      <w:r w:rsidR="007A6115" w:rsidRPr="007A6115">
        <w:rPr>
          <w:bCs/>
          <w:lang w:val="id-ID"/>
        </w:rPr>
        <w:t xml:space="preserve"> </w:t>
      </w:r>
      <w:r>
        <w:t>The expansion of territory is a strategic measure taken by the government to improve the quality of state functions in relation to the influence and development of public services. In other words, the essence of regional autonomy expansion emphasizes the aspect of public service accessibility to enhance the overall well-being of society</w:t>
      </w:r>
      <w:r w:rsidR="007A6115" w:rsidRPr="007A6115">
        <w:t>.</w:t>
      </w:r>
    </w:p>
    <w:p w14:paraId="1A4F817B" w14:textId="06F9B3AD" w:rsidR="007A6115" w:rsidRPr="007A6115" w:rsidRDefault="00E2100D" w:rsidP="00E2100D">
      <w:pPr>
        <w:pStyle w:val="ListParagraph"/>
        <w:spacing w:before="120" w:line="288" w:lineRule="auto"/>
        <w:ind w:left="0" w:firstLine="567"/>
        <w:contextualSpacing w:val="0"/>
        <w:jc w:val="both"/>
      </w:pPr>
      <w:r>
        <w:t>The government's extensive and far-reaching scope has become one of the driving factors behind community efforts to establish new sub-districts. The distance to administrative service centers and excessive bureaucracy are considered issues that lead to inefficiencies in service delivery, which in turn affects societal welfare. Therefore, the establishment of new sub-districts is expected to have a more positive impact on improving the quality of services provided to the community</w:t>
      </w:r>
      <w:r w:rsidR="001860DB">
        <w:rPr>
          <w:lang w:val="id-ID"/>
        </w:rPr>
        <w:t>.</w:t>
      </w:r>
      <w:r w:rsidR="007A6115" w:rsidRPr="007A6115">
        <w:rPr>
          <w:rStyle w:val="FootnoteReference"/>
          <w:rFonts w:eastAsia="MS Mincho"/>
        </w:rPr>
        <w:footnoteReference w:id="2"/>
      </w:r>
    </w:p>
    <w:p w14:paraId="772712B6" w14:textId="5FBB7891" w:rsidR="007A6115" w:rsidRPr="00E2100D" w:rsidRDefault="00E2100D" w:rsidP="00E2100D">
      <w:pPr>
        <w:pStyle w:val="ListParagraph"/>
        <w:spacing w:before="120" w:line="288" w:lineRule="auto"/>
        <w:ind w:left="0" w:firstLine="567"/>
        <w:contextualSpacing w:val="0"/>
        <w:jc w:val="both"/>
        <w:rPr>
          <w:sz w:val="28"/>
        </w:rPr>
      </w:pPr>
      <w:r w:rsidRPr="00E2100D">
        <w:rPr>
          <w:rFonts w:eastAsia="Times New Roman"/>
          <w:szCs w:val="22"/>
          <w:lang w:eastAsia="en-US"/>
        </w:rPr>
        <w:t xml:space="preserve">The expansion of sub-districts in Indonesia refers to the establishment of new administrative regions. The legal basis for sub-district expansion in Indonesia is regulated under </w:t>
      </w:r>
      <w:r w:rsidRPr="00E2100D">
        <w:rPr>
          <w:rFonts w:eastAsia="Times New Roman"/>
          <w:bCs/>
          <w:szCs w:val="22"/>
          <w:lang w:eastAsia="en-US"/>
        </w:rPr>
        <w:t>Law No. 23 of 2014 on Regional Government</w:t>
      </w:r>
      <w:r w:rsidRPr="00E2100D">
        <w:rPr>
          <w:rFonts w:eastAsia="Times New Roman"/>
          <w:szCs w:val="22"/>
          <w:lang w:eastAsia="en-US"/>
        </w:rPr>
        <w:t xml:space="preserve">. Although this law does not explicitly regulate the formation or expansion of regions, </w:t>
      </w:r>
      <w:r w:rsidRPr="00E2100D">
        <w:rPr>
          <w:rFonts w:eastAsia="Times New Roman"/>
          <w:bCs/>
          <w:szCs w:val="22"/>
          <w:lang w:eastAsia="en-US"/>
        </w:rPr>
        <w:t>Article 18B, Paragraph 1</w:t>
      </w:r>
      <w:r w:rsidRPr="00E2100D">
        <w:rPr>
          <w:rFonts w:eastAsia="Times New Roman"/>
          <w:szCs w:val="22"/>
          <w:lang w:eastAsia="en-US"/>
        </w:rPr>
        <w:t xml:space="preserve"> states: </w:t>
      </w:r>
      <w:r w:rsidRPr="00E2100D">
        <w:rPr>
          <w:rFonts w:eastAsia="Times New Roman"/>
          <w:i/>
          <w:iCs/>
          <w:szCs w:val="22"/>
          <w:lang w:eastAsia="en-US"/>
        </w:rPr>
        <w:t>"The state recognizes and respects regional or special governmental units regulated by law."</w:t>
      </w:r>
      <w:r w:rsidRPr="00E2100D">
        <w:rPr>
          <w:rFonts w:eastAsia="Times New Roman"/>
          <w:szCs w:val="22"/>
          <w:lang w:eastAsia="en-US"/>
        </w:rPr>
        <w:t xml:space="preserve"> According to </w:t>
      </w:r>
      <w:r w:rsidRPr="00E2100D">
        <w:rPr>
          <w:rFonts w:eastAsia="Times New Roman"/>
          <w:bCs/>
          <w:szCs w:val="22"/>
          <w:lang w:eastAsia="en-US"/>
        </w:rPr>
        <w:t>Government Regulation No. 78 of 2007</w:t>
      </w:r>
      <w:r w:rsidRPr="00E2100D">
        <w:rPr>
          <w:rFonts w:eastAsia="Times New Roman"/>
          <w:szCs w:val="22"/>
          <w:lang w:eastAsia="en-US"/>
        </w:rPr>
        <w:t xml:space="preserve">, territorial expansion refers to the division or establishment of </w:t>
      </w:r>
      <w:r>
        <w:rPr>
          <w:rFonts w:eastAsia="Times New Roman"/>
          <w:szCs w:val="22"/>
          <w:lang w:eastAsia="en-US"/>
        </w:rPr>
        <w:t>a new administrative government</w:t>
      </w:r>
      <w:r>
        <w:rPr>
          <w:rFonts w:eastAsia="Times New Roman"/>
          <w:szCs w:val="22"/>
          <w:lang w:val="id-ID" w:eastAsia="en-US"/>
        </w:rPr>
        <w:t>.</w:t>
      </w:r>
      <w:r w:rsidR="007A6115" w:rsidRPr="007A6115">
        <w:rPr>
          <w:rStyle w:val="FootnoteReference"/>
          <w:rFonts w:eastAsia="MS Mincho"/>
        </w:rPr>
        <w:footnoteReference w:id="3"/>
      </w:r>
    </w:p>
    <w:p w14:paraId="3ECB45AD" w14:textId="0F6ADD44" w:rsidR="002E5395" w:rsidRPr="002E5395" w:rsidRDefault="000F135C" w:rsidP="002E5395">
      <w:pPr>
        <w:pStyle w:val="ListParagraph"/>
        <w:spacing w:before="120" w:line="288" w:lineRule="auto"/>
        <w:ind w:left="0" w:firstLine="567"/>
        <w:contextualSpacing w:val="0"/>
        <w:jc w:val="both"/>
      </w:pPr>
      <w:r>
        <w:t xml:space="preserve">Natural resources serve as a crucial guideline in policy implementation, as the community's ability to utilize existing natural resources based on knowledge plays a significant role in determining the success of the sub-district expansion policy </w:t>
      </w:r>
      <w:r>
        <w:lastRenderedPageBreak/>
        <w:t>implementation process.</w:t>
      </w:r>
      <w:r w:rsidR="002E5395" w:rsidRPr="002E5395">
        <w:rPr>
          <w:rStyle w:val="FootnoteReference"/>
          <w:rFonts w:eastAsia="MS Mincho"/>
        </w:rPr>
        <w:footnoteReference w:id="4"/>
      </w:r>
      <w:r w:rsidR="002E5395" w:rsidRPr="002E5395">
        <w:rPr>
          <w:lang w:val="id-ID"/>
        </w:rPr>
        <w:t xml:space="preserve"> </w:t>
      </w:r>
      <w:r>
        <w:t>The implementation of regional autonomy is not solely based on juridical references but also reflects the sociological demands of globalization. It must be reinforced by granting regions broader, tangible, and accountable authority, particularly in managing, exploiting, and exploring existing resource potentials.</w:t>
      </w:r>
    </w:p>
    <w:p w14:paraId="173CD84A" w14:textId="12E581A4" w:rsidR="002E5395" w:rsidRPr="002E5395" w:rsidRDefault="000F135C" w:rsidP="002E5395">
      <w:pPr>
        <w:pStyle w:val="ListParagraph"/>
        <w:spacing w:before="120" w:line="288" w:lineRule="auto"/>
        <w:ind w:left="0" w:firstLine="567"/>
        <w:contextualSpacing w:val="0"/>
        <w:jc w:val="both"/>
      </w:pPr>
      <w:r>
        <w:t>The growing importance of the regional role in determining regional competitiveness in today's global economy highlights the urgency of implementing decentralization policies in public administration, development, and public services. Additionally, there is an increasing demand to enhance the quality and integration of regional development planning as a bridge between regional and national development interests. All of these aspects present both opportunities and challenges in realizing broad autonomy.</w:t>
      </w:r>
      <w:r w:rsidR="002E5395" w:rsidRPr="002E5395">
        <w:rPr>
          <w:rStyle w:val="FootnoteReference"/>
          <w:rFonts w:eastAsia="MS Mincho"/>
        </w:rPr>
        <w:footnoteReference w:id="5"/>
      </w:r>
    </w:p>
    <w:p w14:paraId="1B96E4B2" w14:textId="5E6C88CE" w:rsidR="003336AE" w:rsidRPr="001860DB" w:rsidRDefault="000F135C" w:rsidP="001860DB">
      <w:pPr>
        <w:pStyle w:val="ListParagraph"/>
        <w:spacing w:before="120" w:line="288" w:lineRule="auto"/>
        <w:ind w:left="0" w:firstLine="567"/>
        <w:contextualSpacing w:val="0"/>
        <w:jc w:val="both"/>
      </w:pPr>
      <w:r w:rsidRPr="000F135C">
        <w:t>This is carried out to conduct a comprehensive analysis of existing potentials, providing a broader perspective on the feasibility of the planned sub-district expansion. The establishment of sub-districts, as regulated under Law No. 23 of 2014 on Regional Government, is further reinforced by Government Regulation No. 17 of 2018 on Sub-Districts. The study of these laws is not only based on legal provisions but also considers theoretical, sociological, and philosophical concepts of territorial expansion. We hope this will serve as a strong foundation for the establishment of new sub-districts.</w:t>
      </w:r>
    </w:p>
    <w:p w14:paraId="06D03784" w14:textId="32B261A0" w:rsidR="00537B9A" w:rsidRPr="00923AD2" w:rsidRDefault="00005C14" w:rsidP="0027672B">
      <w:pPr>
        <w:pStyle w:val="Heading1"/>
      </w:pPr>
      <w:r>
        <w:rPr>
          <w:bCs/>
          <w:sz w:val="26"/>
          <w:szCs w:val="26"/>
        </w:rPr>
        <w:t>Legal Material and Methods</w:t>
      </w:r>
    </w:p>
    <w:p w14:paraId="769ABE93" w14:textId="37E72BFF" w:rsidR="00E759DF" w:rsidRPr="00141E51" w:rsidRDefault="00E759DF" w:rsidP="00141E51">
      <w:pPr>
        <w:pStyle w:val="ListParagraph"/>
        <w:spacing w:before="120" w:line="288" w:lineRule="auto"/>
        <w:ind w:left="0" w:firstLine="567"/>
        <w:contextualSpacing w:val="0"/>
        <w:jc w:val="both"/>
      </w:pPr>
      <w:r w:rsidRPr="00E759DF">
        <w:t>The research method used in this study is normative (</w:t>
      </w:r>
      <w:r w:rsidRPr="00E759DF">
        <w:rPr>
          <w:i/>
        </w:rPr>
        <w:t>doctrinal</w:t>
      </w:r>
      <w:r w:rsidRPr="00E759DF">
        <w:t>) legal research, employing several approaches, including the statute approach and the conceptual approach. The type of data used in this research is secondary data, obtained from primary legal sources, namely Law No. 23 of 2014 on Regional Government and Government Regulation No. 17 of 2018 on Sub-Districts, as well as relevant stakeholders involved in this research. Additionally, secondary data sources such as journals and books related to the research topic are also utilized.</w:t>
      </w:r>
      <w:r>
        <w:rPr>
          <w:lang w:val="id-ID"/>
        </w:rPr>
        <w:t xml:space="preserve"> </w:t>
      </w:r>
      <w:r w:rsidRPr="00E759DF">
        <w:t>The data analysis technique applied is qualitative data analysis, where collected data is interpreted according to the research objectives. Information obtained from interviews is presented descriptively using a qualitative analysis approach.</w:t>
      </w:r>
      <w:r w:rsidR="001860DB" w:rsidRPr="001860DB">
        <w:rPr>
          <w:rStyle w:val="FootnoteReference"/>
          <w:rFonts w:eastAsia="MS Mincho"/>
        </w:rPr>
        <w:footnoteReference w:id="6"/>
      </w:r>
    </w:p>
    <w:p w14:paraId="5F107993" w14:textId="615B18FA" w:rsidR="004E0E3C" w:rsidRPr="00FA7614" w:rsidRDefault="0065280A" w:rsidP="00FA7614">
      <w:pPr>
        <w:pStyle w:val="Heading1"/>
      </w:pPr>
      <w:r w:rsidRPr="00923AD2">
        <w:t>Results and Discussion</w:t>
      </w:r>
    </w:p>
    <w:p w14:paraId="1614F770" w14:textId="6AAF88A1" w:rsidR="00005C14" w:rsidRPr="00EB3C69" w:rsidRDefault="00EB3C69" w:rsidP="00DB3BC5">
      <w:pPr>
        <w:pStyle w:val="Heading3"/>
        <w:numPr>
          <w:ilvl w:val="0"/>
          <w:numId w:val="0"/>
        </w:numPr>
        <w:rPr>
          <w:b/>
          <w:lang w:val="id-ID"/>
        </w:rPr>
      </w:pPr>
      <w:r w:rsidRPr="00DB3BC5">
        <w:rPr>
          <w:b/>
          <w:i w:val="0"/>
          <w:sz w:val="22"/>
          <w:lang w:val="id-ID"/>
        </w:rPr>
        <w:t>3.1.</w:t>
      </w:r>
      <w:r w:rsidRPr="00EB3C69">
        <w:rPr>
          <w:b/>
          <w:sz w:val="22"/>
          <w:lang w:val="id-ID"/>
        </w:rPr>
        <w:t xml:space="preserve"> </w:t>
      </w:r>
      <w:r w:rsidR="00EE043E" w:rsidRPr="00DB3BC5">
        <w:rPr>
          <w:b/>
          <w:i w:val="0"/>
          <w:sz w:val="24"/>
        </w:rPr>
        <w:t>Theoretical Basis for the Regulation of Sub-Districts in Indonesia</w:t>
      </w:r>
    </w:p>
    <w:p w14:paraId="373020EF" w14:textId="3232E066" w:rsidR="00FA7614" w:rsidRDefault="00DB3BC5" w:rsidP="00EB3C69">
      <w:pPr>
        <w:pStyle w:val="ListParagraph"/>
        <w:spacing w:before="120" w:line="288" w:lineRule="auto"/>
        <w:ind w:left="0" w:firstLine="567"/>
        <w:contextualSpacing w:val="0"/>
        <w:jc w:val="both"/>
        <w:rPr>
          <w:lang w:val="id-ID"/>
        </w:rPr>
      </w:pPr>
      <w:r>
        <w:lastRenderedPageBreak/>
        <w:t xml:space="preserve">Based on the </w:t>
      </w:r>
      <w:r w:rsidR="00EB3C69" w:rsidRPr="00EB3C69">
        <w:t>analysis of the afor</w:t>
      </w:r>
      <w:r>
        <w:t xml:space="preserve">ementioned legal provisions, it is crucial to formulate a </w:t>
      </w:r>
      <w:r w:rsidR="00EB3C69" w:rsidRPr="00EB3C69">
        <w:t>new mechanism for delegating authority from regencies/cities to sub-districts to ensure that development, starting from the planning mechanism, can be effectively implemented. This delegation, however, cannot be carried out by establishing a new autonomous unit at the sub-district level, as is done at the regency/city or village level. Instead, a more structured and efficient approach is needed to strengthen the role of sub-districts while maintaining their administrative function within the framework of regional governance</w:t>
      </w:r>
      <w:r w:rsidR="00EB3C69">
        <w:rPr>
          <w:lang w:val="id-ID"/>
        </w:rPr>
        <w:t>.</w:t>
      </w:r>
    </w:p>
    <w:p w14:paraId="5923A4B2" w14:textId="77777777" w:rsidR="00DD3A85" w:rsidRPr="00DD3A85" w:rsidRDefault="00DD3A85" w:rsidP="00DD3A85">
      <w:pPr>
        <w:pStyle w:val="ListParagraph"/>
        <w:spacing w:before="120" w:line="288" w:lineRule="auto"/>
        <w:ind w:left="0" w:firstLine="567"/>
        <w:contextualSpacing w:val="0"/>
        <w:jc w:val="both"/>
      </w:pPr>
      <w:r w:rsidRPr="00DD3A85">
        <w:t>Historically, the government system implemented between 1948 and 1965 provided valuable lessons on how a multi-tiered and excessively layered governance structure proved ineffective in delivering better public services. Instead of improving governance, the increasing complexity of administrative layers failed to establish an efficient and effective government capable of providing high-quality services to the public.</w:t>
      </w:r>
    </w:p>
    <w:p w14:paraId="458D7363" w14:textId="0C3CB7A2" w:rsidR="00DD3A85" w:rsidRPr="00DD3A85" w:rsidRDefault="00DD3A85" w:rsidP="00F27436">
      <w:pPr>
        <w:pStyle w:val="ListParagraph"/>
        <w:spacing w:before="120" w:line="288" w:lineRule="auto"/>
        <w:ind w:left="0" w:firstLine="567"/>
        <w:contextualSpacing w:val="0"/>
        <w:jc w:val="both"/>
      </w:pPr>
      <w:r w:rsidRPr="00DD3A85">
        <w:t>However, the delegation of authority to sub-districts can adopt several key principles from the three major regi</w:t>
      </w:r>
      <w:r w:rsidR="00F27436">
        <w:t xml:space="preserve">onal governance systems, namely, </w:t>
      </w:r>
      <w:r w:rsidRPr="00DD3A85">
        <w:t>Decentralization</w:t>
      </w:r>
      <w:r w:rsidR="00F27436">
        <w:t>-</w:t>
      </w:r>
      <w:r w:rsidRPr="00DD3A85">
        <w:t>granting local governments auton</w:t>
      </w:r>
      <w:r w:rsidR="00F27436">
        <w:t xml:space="preserve">omy to manage their own affairs, </w:t>
      </w:r>
      <w:proofErr w:type="spellStart"/>
      <w:r w:rsidRPr="00F27436">
        <w:t>Deconcentration</w:t>
      </w:r>
      <w:proofErr w:type="spellEnd"/>
      <w:r w:rsidR="00F27436">
        <w:t>-</w:t>
      </w:r>
      <w:r w:rsidRPr="00DD3A85">
        <w:t>transferring authority from the central government t</w:t>
      </w:r>
      <w:r w:rsidR="00F27436">
        <w:t xml:space="preserve">o regional administrative units, </w:t>
      </w:r>
      <w:proofErr w:type="spellStart"/>
      <w:r w:rsidRPr="00F27436">
        <w:t>Medebewind</w:t>
      </w:r>
      <w:proofErr w:type="spellEnd"/>
      <w:r w:rsidRPr="00F27436">
        <w:t xml:space="preserve"> (co-administration tasks)</w:t>
      </w:r>
      <w:r w:rsidR="00F27436">
        <w:t>-</w:t>
      </w:r>
      <w:r w:rsidRPr="00DD3A85">
        <w:t>assigning regional governments to carry out specific duties on behalf of the central government.</w:t>
      </w:r>
      <w:r w:rsidR="00F27436">
        <w:rPr>
          <w:lang w:val="id-ID"/>
        </w:rPr>
        <w:t xml:space="preserve"> </w:t>
      </w:r>
      <w:r w:rsidRPr="00DD3A85">
        <w:t xml:space="preserve">By incorporating these principles, sub-districts can be empowered </w:t>
      </w:r>
      <w:r w:rsidRPr="00F27436">
        <w:t>without necessarily creating new autonomous units</w:t>
      </w:r>
      <w:r w:rsidRPr="00DD3A85">
        <w:t xml:space="preserve">, ensuring </w:t>
      </w:r>
      <w:r w:rsidRPr="00F27436">
        <w:t>greater governance efficiency and improved public service delivery</w:t>
      </w:r>
      <w:r w:rsidRPr="00DD3A85">
        <w:t>.</w:t>
      </w:r>
    </w:p>
    <w:p w14:paraId="49A20B3E" w14:textId="7B0A39A6" w:rsidR="00F27436" w:rsidRDefault="00F27436" w:rsidP="00F27436">
      <w:pPr>
        <w:pStyle w:val="ListParagraph"/>
        <w:spacing w:before="120" w:line="288" w:lineRule="auto"/>
        <w:ind w:left="0" w:firstLine="567"/>
        <w:contextualSpacing w:val="0"/>
        <w:jc w:val="both"/>
      </w:pPr>
      <w:r w:rsidRPr="00F27436">
        <w:t>Thus, the foundation of these three major principles is not intended to grant sub-districts the authority to formulate their own development programs but rather to serve as implementers of regency/city government policies, which can then be adjusted according to the specific context and needs of the respective region.</w:t>
      </w:r>
      <w:r>
        <w:rPr>
          <w:lang w:val="id-ID"/>
        </w:rPr>
        <w:t xml:space="preserve"> </w:t>
      </w:r>
      <w:r w:rsidRPr="00F27436">
        <w:t>One crucial and fundamental indication of regional autonomy is the authority of the people, which is directly represented by the Regional House of Representatives (DPRD), to plan and implement development in their areas with support from the central government. In this regard, centralization within the framework of decentralization can be understood as a system where regional governments await instructions and resource allocations from the central government for the execution of development programs formulated at the national level.</w:t>
      </w:r>
    </w:p>
    <w:p w14:paraId="33E7D37C" w14:textId="7D7D319E" w:rsidR="000E676E" w:rsidRPr="00343C8C" w:rsidRDefault="000E676E" w:rsidP="00343C8C">
      <w:pPr>
        <w:pStyle w:val="ListParagraph"/>
        <w:spacing w:before="120" w:line="288" w:lineRule="auto"/>
        <w:ind w:left="0"/>
        <w:contextualSpacing w:val="0"/>
        <w:jc w:val="both"/>
        <w:rPr>
          <w:b/>
        </w:rPr>
      </w:pPr>
      <w:r w:rsidRPr="00343C8C">
        <w:rPr>
          <w:b/>
        </w:rPr>
        <w:t xml:space="preserve">The Potential of </w:t>
      </w:r>
      <w:proofErr w:type="spellStart"/>
      <w:r w:rsidRPr="00343C8C">
        <w:rPr>
          <w:b/>
        </w:rPr>
        <w:t>Monta</w:t>
      </w:r>
      <w:proofErr w:type="spellEnd"/>
      <w:r w:rsidRPr="00343C8C">
        <w:rPr>
          <w:b/>
        </w:rPr>
        <w:t xml:space="preserve"> Selatan’s Resources in Forming a New Sub-District</w:t>
      </w:r>
    </w:p>
    <w:p w14:paraId="5FA91AAE" w14:textId="77777777" w:rsidR="000E676E" w:rsidRPr="00343C8C" w:rsidRDefault="000E676E" w:rsidP="00343C8C">
      <w:pPr>
        <w:pStyle w:val="ListParagraph"/>
        <w:spacing w:before="120" w:line="288" w:lineRule="auto"/>
        <w:ind w:left="0" w:firstLine="567"/>
        <w:contextualSpacing w:val="0"/>
        <w:jc w:val="both"/>
      </w:pPr>
      <w:r w:rsidRPr="00343C8C">
        <w:t xml:space="preserve">The majority of </w:t>
      </w:r>
      <w:proofErr w:type="spellStart"/>
      <w:r w:rsidRPr="00343C8C">
        <w:t>Monta</w:t>
      </w:r>
      <w:proofErr w:type="spellEnd"/>
      <w:r w:rsidRPr="00343C8C">
        <w:t xml:space="preserve"> Selatan’s population is engaged in agriculture, with approximately 585 people (45.2%) working as farmers, while the lowest proportion is civil servants (10.1%). The dominance of agricultural livelihoods provides a strong rationale for the sub-district expansion process in </w:t>
      </w:r>
      <w:proofErr w:type="spellStart"/>
      <w:r w:rsidRPr="00343C8C">
        <w:t>Monta</w:t>
      </w:r>
      <w:proofErr w:type="spellEnd"/>
      <w:r w:rsidRPr="00343C8C">
        <w:t>, as it aligns with feasibility rationalization, public opinion, and community aspirations, which reach 90% in favor of the expansion.</w:t>
      </w:r>
    </w:p>
    <w:p w14:paraId="7CEC073E" w14:textId="58E3C5EB" w:rsidR="000E676E" w:rsidRPr="000E676E" w:rsidRDefault="000E676E" w:rsidP="00343C8C">
      <w:pPr>
        <w:pStyle w:val="ListParagraph"/>
        <w:spacing w:before="120" w:line="288" w:lineRule="auto"/>
        <w:ind w:left="0" w:firstLine="567"/>
        <w:contextualSpacing w:val="0"/>
        <w:jc w:val="both"/>
      </w:pPr>
      <w:r w:rsidRPr="00343C8C">
        <w:t xml:space="preserve">Development should not only be viewed as an end result but also as a process to achieve its objectives. Infrastructure plays a crucial role as a physical system required to </w:t>
      </w:r>
      <w:r w:rsidRPr="00343C8C">
        <w:lastRenderedPageBreak/>
        <w:t>meet the basic needs of society within a country. One of the key goals of physical development necessary for good governance is the establishment of essential government institutions to ensure efficient and effective public service delivery.</w:t>
      </w:r>
      <w:r w:rsidRPr="000E676E">
        <w:rPr>
          <w:rStyle w:val="FootnoteReference"/>
          <w:rFonts w:eastAsia="MS Mincho"/>
        </w:rPr>
        <w:footnoteReference w:id="7"/>
      </w:r>
    </w:p>
    <w:p w14:paraId="7530D1C9" w14:textId="56FB0FE4" w:rsidR="00343C8C" w:rsidRPr="0018504E" w:rsidRDefault="0018504E" w:rsidP="0018504E">
      <w:pPr>
        <w:pStyle w:val="ListParagraph"/>
        <w:spacing w:before="120" w:line="288" w:lineRule="auto"/>
        <w:ind w:left="0" w:firstLine="567"/>
        <w:contextualSpacing w:val="0"/>
        <w:jc w:val="both"/>
      </w:pPr>
      <w:r w:rsidRPr="0018504E">
        <w:t>Regional government authority units play a crucial role in public administration law in fulfilling the public service needs of society. Regional government agencies serve as institutions where public officials carry out their duties and responsibilities to deliver public services to the community.</w:t>
      </w:r>
      <w:r>
        <w:rPr>
          <w:lang w:val="id-ID"/>
        </w:rPr>
        <w:t xml:space="preserve"> </w:t>
      </w:r>
      <w:r w:rsidRPr="0018504E">
        <w:t>Therefore, regional government authority units must adhere to the standards set forth in administrative law, including the availability of adequate infrastructure and facilities, financial management transparency, and public information disclosure. In this regard, regional governments must also ensure the fulfillment of citizens' rights to high-quality and honest public services</w:t>
      </w:r>
      <w:r>
        <w:t>.</w:t>
      </w:r>
      <w:r w:rsidR="00343C8C" w:rsidRPr="00343C8C">
        <w:rPr>
          <w:rStyle w:val="FootnoteReference"/>
          <w:rFonts w:eastAsia="MS Mincho"/>
        </w:rPr>
        <w:footnoteReference w:id="8"/>
      </w:r>
    </w:p>
    <w:p w14:paraId="541AF0F2" w14:textId="6FBC6AB2" w:rsidR="0018504E" w:rsidRDefault="0018504E" w:rsidP="0018504E">
      <w:pPr>
        <w:pStyle w:val="ListParagraph"/>
        <w:spacing w:before="120" w:line="288" w:lineRule="auto"/>
        <w:ind w:left="0" w:firstLine="567"/>
        <w:contextualSpacing w:val="0"/>
        <w:jc w:val="both"/>
      </w:pPr>
      <w:r w:rsidRPr="0018504E">
        <w:t xml:space="preserve">Integration is a system of social relationships. In the context of </w:t>
      </w:r>
      <w:proofErr w:type="spellStart"/>
      <w:r w:rsidRPr="0018504E">
        <w:t>ethnobiology</w:t>
      </w:r>
      <w:proofErr w:type="spellEnd"/>
      <w:r w:rsidRPr="0018504E">
        <w:t xml:space="preserve">, integration refers to the adaptive process between local knowledge (such as </w:t>
      </w:r>
      <w:proofErr w:type="spellStart"/>
      <w:r w:rsidRPr="0018504E">
        <w:t>ethnobotany</w:t>
      </w:r>
      <w:proofErr w:type="spellEnd"/>
      <w:r w:rsidRPr="0018504E">
        <w:t xml:space="preserve">, </w:t>
      </w:r>
      <w:proofErr w:type="spellStart"/>
      <w:r w:rsidRPr="0018504E">
        <w:t>ethnoecology</w:t>
      </w:r>
      <w:proofErr w:type="spellEnd"/>
      <w:r w:rsidRPr="0018504E">
        <w:t xml:space="preserve">, </w:t>
      </w:r>
      <w:proofErr w:type="spellStart"/>
      <w:r w:rsidRPr="0018504E">
        <w:t>ethnozoology</w:t>
      </w:r>
      <w:proofErr w:type="spellEnd"/>
      <w:r w:rsidRPr="0018504E">
        <w:t xml:space="preserve">, and ethnography) in the management and utilization of natural resources and ecosystems, alongside </w:t>
      </w:r>
      <w:proofErr w:type="spellStart"/>
      <w:r w:rsidRPr="0018504E">
        <w:t>ethnobiological</w:t>
      </w:r>
      <w:proofErr w:type="spellEnd"/>
      <w:r w:rsidRPr="0018504E">
        <w:t xml:space="preserve"> science and various government policies. This integration aims to support the achievement of sustainable natural resource management.</w:t>
      </w:r>
      <w:r>
        <w:rPr>
          <w:lang w:val="id-ID"/>
        </w:rPr>
        <w:t xml:space="preserve"> </w:t>
      </w:r>
      <w:r w:rsidRPr="0018504E">
        <w:t xml:space="preserve">One model of integrated community </w:t>
      </w:r>
      <w:proofErr w:type="spellStart"/>
      <w:r w:rsidRPr="0018504E">
        <w:t>ethnobiology</w:t>
      </w:r>
      <w:proofErr w:type="spellEnd"/>
      <w:r w:rsidRPr="0018504E">
        <w:t xml:space="preserve"> that supports natural resource conservation while enhancing local community potential is by exploring solutions for regional expansion at the regency level. This approach enables local communities to be closer to the government, ensuring better access to public services and effective governance.</w:t>
      </w:r>
      <w:r w:rsidRPr="0018504E">
        <w:rPr>
          <w:rStyle w:val="FootnoteReference"/>
          <w:rFonts w:eastAsia="MS Mincho"/>
        </w:rPr>
        <w:footnoteReference w:id="9"/>
      </w:r>
    </w:p>
    <w:p w14:paraId="7EA48555" w14:textId="1DA43397" w:rsidR="00932269" w:rsidRPr="00932269" w:rsidRDefault="00932269" w:rsidP="00932269">
      <w:pPr>
        <w:pStyle w:val="ListParagraph"/>
        <w:spacing w:before="120" w:line="288" w:lineRule="auto"/>
        <w:ind w:left="0" w:firstLine="567"/>
        <w:contextualSpacing w:val="0"/>
        <w:jc w:val="both"/>
      </w:pPr>
      <w:r w:rsidRPr="00932269">
        <w:t>One of the driving factors behind the community's efforts to establish a new village is the considerable distance between their settlement and the sub-district capital, which limits access to government services and bureaucracy. This issue is seen as a major obstacle that slows down efforts to improve community welfare.</w:t>
      </w:r>
      <w:r>
        <w:rPr>
          <w:lang w:val="id-ID"/>
        </w:rPr>
        <w:t xml:space="preserve"> </w:t>
      </w:r>
      <w:r w:rsidRPr="00932269">
        <w:t>A viable solution to this problem is the expansion of administrative regions, such as the formation of a new sub-district. This would allow the community, as service recipients, to be closer to service providers, ensuring better public services. Ultimately, this initiative is expected to have a positive impact on improving the welfare of the people.</w:t>
      </w:r>
    </w:p>
    <w:p w14:paraId="57D108B1" w14:textId="6E1A5C8D" w:rsidR="00932269" w:rsidRDefault="00932269" w:rsidP="0018504E">
      <w:pPr>
        <w:pStyle w:val="ListParagraph"/>
        <w:spacing w:before="120" w:line="288" w:lineRule="auto"/>
        <w:ind w:left="0" w:firstLine="567"/>
        <w:contextualSpacing w:val="0"/>
        <w:jc w:val="both"/>
      </w:pPr>
    </w:p>
    <w:p w14:paraId="42E2F313" w14:textId="77777777" w:rsidR="00C26555" w:rsidRDefault="00C26555" w:rsidP="0018504E">
      <w:pPr>
        <w:pStyle w:val="ListParagraph"/>
        <w:spacing w:before="120" w:line="288" w:lineRule="auto"/>
        <w:ind w:left="0" w:firstLine="567"/>
        <w:contextualSpacing w:val="0"/>
        <w:jc w:val="both"/>
      </w:pPr>
    </w:p>
    <w:p w14:paraId="179404C2" w14:textId="77777777" w:rsidR="00C26555" w:rsidRDefault="00C26555" w:rsidP="0018504E">
      <w:pPr>
        <w:pStyle w:val="ListParagraph"/>
        <w:spacing w:before="120" w:line="288" w:lineRule="auto"/>
        <w:ind w:left="0" w:firstLine="567"/>
        <w:contextualSpacing w:val="0"/>
        <w:jc w:val="both"/>
      </w:pPr>
    </w:p>
    <w:p w14:paraId="24874CB0" w14:textId="77777777" w:rsidR="00C26555" w:rsidRDefault="00C26555" w:rsidP="0018504E">
      <w:pPr>
        <w:pStyle w:val="ListParagraph"/>
        <w:spacing w:before="120" w:line="288" w:lineRule="auto"/>
        <w:ind w:left="0" w:firstLine="567"/>
        <w:contextualSpacing w:val="0"/>
        <w:jc w:val="both"/>
      </w:pPr>
    </w:p>
    <w:p w14:paraId="7595B6FA" w14:textId="44F27B9A" w:rsidR="00C26555" w:rsidRDefault="007D2186" w:rsidP="0018504E">
      <w:pPr>
        <w:pStyle w:val="ListParagraph"/>
        <w:spacing w:before="120" w:line="288" w:lineRule="auto"/>
        <w:ind w:left="0" w:firstLine="567"/>
        <w:contextualSpacing w:val="0"/>
        <w:jc w:val="both"/>
      </w:pPr>
      <w:r>
        <w:rPr>
          <w:noProof/>
          <w:lang w:val="id-ID" w:eastAsia="id-ID"/>
        </w:rPr>
        <w:drawing>
          <wp:anchor distT="0" distB="0" distL="114300" distR="114300" simplePos="0" relativeHeight="251660800" behindDoc="0" locked="0" layoutInCell="1" allowOverlap="1" wp14:anchorId="0F2218BC" wp14:editId="7FA3F8FE">
            <wp:simplePos x="0" y="0"/>
            <wp:positionH relativeFrom="column">
              <wp:posOffset>636270</wp:posOffset>
            </wp:positionH>
            <wp:positionV relativeFrom="paragraph">
              <wp:posOffset>74839</wp:posOffset>
            </wp:positionV>
            <wp:extent cx="4624070" cy="3950970"/>
            <wp:effectExtent l="0" t="0" r="508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4070" cy="3950970"/>
                    </a:xfrm>
                    <a:prstGeom prst="rect">
                      <a:avLst/>
                    </a:prstGeom>
                    <a:noFill/>
                  </pic:spPr>
                </pic:pic>
              </a:graphicData>
            </a:graphic>
            <wp14:sizeRelH relativeFrom="page">
              <wp14:pctWidth>0</wp14:pctWidth>
            </wp14:sizeRelH>
            <wp14:sizeRelV relativeFrom="page">
              <wp14:pctHeight>0</wp14:pctHeight>
            </wp14:sizeRelV>
          </wp:anchor>
        </w:drawing>
      </w:r>
    </w:p>
    <w:p w14:paraId="0B999A1F" w14:textId="77777777" w:rsidR="00C26555" w:rsidRDefault="00C26555" w:rsidP="0018504E">
      <w:pPr>
        <w:pStyle w:val="ListParagraph"/>
        <w:spacing w:before="120" w:line="288" w:lineRule="auto"/>
        <w:ind w:left="0" w:firstLine="567"/>
        <w:contextualSpacing w:val="0"/>
        <w:jc w:val="both"/>
      </w:pPr>
    </w:p>
    <w:p w14:paraId="1EBA5022" w14:textId="77777777" w:rsidR="00C26555" w:rsidRDefault="00C26555" w:rsidP="0018504E">
      <w:pPr>
        <w:pStyle w:val="ListParagraph"/>
        <w:spacing w:before="120" w:line="288" w:lineRule="auto"/>
        <w:ind w:left="0" w:firstLine="567"/>
        <w:contextualSpacing w:val="0"/>
        <w:jc w:val="both"/>
      </w:pPr>
    </w:p>
    <w:p w14:paraId="6CA0FD05" w14:textId="77777777" w:rsidR="00C26555" w:rsidRDefault="00C26555" w:rsidP="0018504E">
      <w:pPr>
        <w:pStyle w:val="ListParagraph"/>
        <w:spacing w:before="120" w:line="288" w:lineRule="auto"/>
        <w:ind w:left="0" w:firstLine="567"/>
        <w:contextualSpacing w:val="0"/>
        <w:jc w:val="both"/>
      </w:pPr>
    </w:p>
    <w:p w14:paraId="77178C65" w14:textId="77777777" w:rsidR="00C26555" w:rsidRDefault="00C26555" w:rsidP="0018504E">
      <w:pPr>
        <w:pStyle w:val="ListParagraph"/>
        <w:spacing w:before="120" w:line="288" w:lineRule="auto"/>
        <w:ind w:left="0" w:firstLine="567"/>
        <w:contextualSpacing w:val="0"/>
        <w:jc w:val="both"/>
      </w:pPr>
    </w:p>
    <w:p w14:paraId="5D71E7F7" w14:textId="77777777" w:rsidR="00C26555" w:rsidRDefault="00C26555" w:rsidP="0018504E">
      <w:pPr>
        <w:pStyle w:val="ListParagraph"/>
        <w:spacing w:before="120" w:line="288" w:lineRule="auto"/>
        <w:ind w:left="0" w:firstLine="567"/>
        <w:contextualSpacing w:val="0"/>
        <w:jc w:val="both"/>
      </w:pPr>
    </w:p>
    <w:p w14:paraId="75DCD082" w14:textId="77777777" w:rsidR="00C26555" w:rsidRDefault="00C26555" w:rsidP="0018504E">
      <w:pPr>
        <w:pStyle w:val="ListParagraph"/>
        <w:spacing w:before="120" w:line="288" w:lineRule="auto"/>
        <w:ind w:left="0" w:firstLine="567"/>
        <w:contextualSpacing w:val="0"/>
        <w:jc w:val="both"/>
      </w:pPr>
    </w:p>
    <w:p w14:paraId="33380D01" w14:textId="77777777" w:rsidR="00C26555" w:rsidRDefault="00C26555" w:rsidP="0018504E">
      <w:pPr>
        <w:pStyle w:val="ListParagraph"/>
        <w:spacing w:before="120" w:line="288" w:lineRule="auto"/>
        <w:ind w:left="0" w:firstLine="567"/>
        <w:contextualSpacing w:val="0"/>
        <w:jc w:val="both"/>
      </w:pPr>
    </w:p>
    <w:p w14:paraId="0857A9EC" w14:textId="77777777" w:rsidR="00C26555" w:rsidRDefault="00C26555" w:rsidP="0018504E">
      <w:pPr>
        <w:pStyle w:val="ListParagraph"/>
        <w:spacing w:before="120" w:line="288" w:lineRule="auto"/>
        <w:ind w:left="0" w:firstLine="567"/>
        <w:contextualSpacing w:val="0"/>
        <w:jc w:val="both"/>
      </w:pPr>
    </w:p>
    <w:p w14:paraId="261E6BF2" w14:textId="77777777" w:rsidR="00C26555" w:rsidRDefault="00C26555" w:rsidP="0018504E">
      <w:pPr>
        <w:pStyle w:val="ListParagraph"/>
        <w:spacing w:before="120" w:line="288" w:lineRule="auto"/>
        <w:ind w:left="0" w:firstLine="567"/>
        <w:contextualSpacing w:val="0"/>
        <w:jc w:val="both"/>
      </w:pPr>
    </w:p>
    <w:p w14:paraId="3FC4148F" w14:textId="48124F8F" w:rsidR="00C26555" w:rsidRPr="0018504E" w:rsidRDefault="00C26555" w:rsidP="0018504E">
      <w:pPr>
        <w:pStyle w:val="ListParagraph"/>
        <w:spacing w:before="120" w:line="288" w:lineRule="auto"/>
        <w:ind w:left="0" w:firstLine="567"/>
        <w:contextualSpacing w:val="0"/>
        <w:jc w:val="both"/>
      </w:pPr>
    </w:p>
    <w:p w14:paraId="65C7BE1F" w14:textId="1ADBB071" w:rsidR="000E676E" w:rsidRDefault="000E676E" w:rsidP="00F27436">
      <w:pPr>
        <w:pStyle w:val="ListParagraph"/>
        <w:spacing w:before="120" w:line="288" w:lineRule="auto"/>
        <w:ind w:left="0" w:firstLine="567"/>
        <w:contextualSpacing w:val="0"/>
        <w:jc w:val="both"/>
      </w:pPr>
    </w:p>
    <w:p w14:paraId="565C1EAF" w14:textId="77777777" w:rsidR="00C26555" w:rsidRPr="00F27436" w:rsidRDefault="00C26555" w:rsidP="00F27436">
      <w:pPr>
        <w:pStyle w:val="ListParagraph"/>
        <w:spacing w:before="120" w:line="288" w:lineRule="auto"/>
        <w:ind w:left="0" w:firstLine="567"/>
        <w:contextualSpacing w:val="0"/>
        <w:jc w:val="both"/>
      </w:pPr>
    </w:p>
    <w:p w14:paraId="1993DD82" w14:textId="77777777" w:rsidR="00C26555" w:rsidRDefault="00C26555" w:rsidP="005F7B93">
      <w:pPr>
        <w:pStyle w:val="Heading3"/>
        <w:numPr>
          <w:ilvl w:val="0"/>
          <w:numId w:val="0"/>
        </w:numPr>
        <w:spacing w:before="240" w:line="288" w:lineRule="auto"/>
        <w:rPr>
          <w:rFonts w:eastAsia="Batang"/>
          <w:i w:val="0"/>
          <w:iCs w:val="0"/>
          <w:noProof w:val="0"/>
          <w:sz w:val="24"/>
          <w:szCs w:val="24"/>
          <w:lang w:val="id-ID" w:eastAsia="ko-KR"/>
        </w:rPr>
      </w:pPr>
    </w:p>
    <w:p w14:paraId="0183037C" w14:textId="77777777" w:rsidR="005F7B93" w:rsidRPr="005F7B93" w:rsidRDefault="005F7B93" w:rsidP="005F7B93">
      <w:pPr>
        <w:rPr>
          <w:lang w:val="id-ID" w:eastAsia="ko-KR"/>
        </w:rPr>
      </w:pPr>
    </w:p>
    <w:p w14:paraId="48841DD2" w14:textId="4E382309" w:rsidR="00DB3BC5" w:rsidRPr="00DB3BC5" w:rsidRDefault="00DB3BC5" w:rsidP="00DB3BC5">
      <w:pPr>
        <w:pStyle w:val="Heading3"/>
        <w:numPr>
          <w:ilvl w:val="1"/>
          <w:numId w:val="24"/>
        </w:numPr>
        <w:rPr>
          <w:rFonts w:eastAsia="Batang"/>
          <w:b/>
          <w:i w:val="0"/>
          <w:iCs w:val="0"/>
          <w:noProof w:val="0"/>
          <w:sz w:val="24"/>
          <w:szCs w:val="24"/>
          <w:lang w:eastAsia="ko-KR"/>
        </w:rPr>
      </w:pPr>
      <w:r w:rsidRPr="00DB3BC5">
        <w:rPr>
          <w:rFonts w:eastAsia="Batang"/>
          <w:b/>
          <w:i w:val="0"/>
          <w:iCs w:val="0"/>
          <w:noProof w:val="0"/>
          <w:sz w:val="24"/>
          <w:szCs w:val="24"/>
          <w:lang w:eastAsia="ko-KR"/>
        </w:rPr>
        <w:t xml:space="preserve">Inhibiting Factors in the </w:t>
      </w:r>
      <w:proofErr w:type="spellStart"/>
      <w:r w:rsidRPr="00DB3BC5">
        <w:rPr>
          <w:rFonts w:eastAsia="Batang"/>
          <w:b/>
          <w:i w:val="0"/>
          <w:iCs w:val="0"/>
          <w:noProof w:val="0"/>
          <w:sz w:val="24"/>
          <w:szCs w:val="24"/>
          <w:lang w:eastAsia="ko-KR"/>
        </w:rPr>
        <w:t>Monta</w:t>
      </w:r>
      <w:proofErr w:type="spellEnd"/>
      <w:r w:rsidRPr="00DB3BC5">
        <w:rPr>
          <w:rFonts w:eastAsia="Batang"/>
          <w:b/>
          <w:i w:val="0"/>
          <w:iCs w:val="0"/>
          <w:noProof w:val="0"/>
          <w:sz w:val="24"/>
          <w:szCs w:val="24"/>
          <w:lang w:eastAsia="ko-KR"/>
        </w:rPr>
        <w:t xml:space="preserve"> Selatan Expansion Plan</w:t>
      </w:r>
    </w:p>
    <w:p w14:paraId="0F78DF1A" w14:textId="48733FB8" w:rsidR="00DB3BC5" w:rsidRPr="005F7B93" w:rsidRDefault="00DB3BC5" w:rsidP="005F7B93">
      <w:pPr>
        <w:pStyle w:val="ListParagraph"/>
        <w:spacing w:before="120" w:line="288" w:lineRule="auto"/>
        <w:ind w:left="0" w:firstLine="567"/>
        <w:contextualSpacing w:val="0"/>
        <w:jc w:val="both"/>
      </w:pPr>
      <w:r w:rsidRPr="005F7B93">
        <w:t>Regencies and cities are governed under Law No. 23 of 2014, Article 18A on Regional Government, as well as Government Regulation No. 17 of 2018 on Sub-Districts. These regulations emphasize the characteristics and diversity of a region in administrative governance. Sub-districts (</w:t>
      </w:r>
      <w:proofErr w:type="spellStart"/>
      <w:r w:rsidRPr="005F7B93">
        <w:t>Kecamatan</w:t>
      </w:r>
      <w:proofErr w:type="spellEnd"/>
      <w:r w:rsidR="00F87120">
        <w:t xml:space="preserve">) </w:t>
      </w:r>
      <w:r w:rsidRPr="005F7B93">
        <w:t>are administrative areas within regencies or cities, consisting of several villages (</w:t>
      </w:r>
      <w:proofErr w:type="spellStart"/>
      <w:r w:rsidRPr="005F7B93">
        <w:t>desa</w:t>
      </w:r>
      <w:proofErr w:type="spellEnd"/>
      <w:r w:rsidRPr="005F7B93">
        <w:t>) or urban villages (</w:t>
      </w:r>
      <w:proofErr w:type="spellStart"/>
      <w:r w:rsidRPr="005F7B93">
        <w:t>kelurahan</w:t>
      </w:r>
      <w:proofErr w:type="spellEnd"/>
      <w:r w:rsidRPr="005F7B93">
        <w:t>)</w:t>
      </w:r>
      <w:r w:rsidR="00F87120">
        <w:t xml:space="preserve">. </w:t>
      </w:r>
      <w:r w:rsidRPr="005F7B93">
        <w:t>Indonesia follows a regional autonomy system, where sub-districts serve as integral components of regency and city governance, led by a sub-district head (</w:t>
      </w:r>
      <w:proofErr w:type="spellStart"/>
      <w:r w:rsidRPr="005F7B93">
        <w:t>camat</w:t>
      </w:r>
      <w:proofErr w:type="spellEnd"/>
      <w:r w:rsidRPr="005F7B93">
        <w:t>).</w:t>
      </w:r>
    </w:p>
    <w:p w14:paraId="2B13ABCF" w14:textId="77777777" w:rsidR="00DB3BC5" w:rsidRDefault="00DB3BC5" w:rsidP="005F7B93">
      <w:pPr>
        <w:pStyle w:val="ListParagraph"/>
        <w:spacing w:before="120" w:line="288" w:lineRule="auto"/>
        <w:ind w:left="0" w:firstLine="567"/>
        <w:contextualSpacing w:val="0"/>
        <w:jc w:val="both"/>
      </w:pPr>
      <w:r w:rsidRPr="005F7B93">
        <w:t xml:space="preserve">The factors delaying the expansion of </w:t>
      </w:r>
      <w:proofErr w:type="spellStart"/>
      <w:r w:rsidRPr="005F7B93">
        <w:t>Monta</w:t>
      </w:r>
      <w:proofErr w:type="spellEnd"/>
      <w:r w:rsidRPr="005F7B93">
        <w:t xml:space="preserve"> Sub-District in </w:t>
      </w:r>
      <w:proofErr w:type="spellStart"/>
      <w:r w:rsidRPr="005F7B93">
        <w:t>Bima</w:t>
      </w:r>
      <w:proofErr w:type="spellEnd"/>
      <w:r w:rsidRPr="005F7B93">
        <w:t xml:space="preserve"> Regency have been identified based on interviews conducted with the local government administration. The main reasons behind the delayed sub-district expansion include the following:</w:t>
      </w:r>
    </w:p>
    <w:p w14:paraId="2382A581" w14:textId="77777777" w:rsidR="00FC28DA" w:rsidRPr="00FC28DA" w:rsidRDefault="00FC28DA" w:rsidP="00FC28DA">
      <w:pPr>
        <w:pStyle w:val="Heading3"/>
        <w:rPr>
          <w:i w:val="0"/>
          <w:sz w:val="32"/>
          <w:szCs w:val="27"/>
          <w:lang w:val="id-ID" w:eastAsia="id-ID"/>
        </w:rPr>
      </w:pPr>
      <w:r w:rsidRPr="00FC28DA">
        <w:rPr>
          <w:rStyle w:val="Strong"/>
          <w:bCs/>
          <w:i w:val="0"/>
          <w:sz w:val="24"/>
        </w:rPr>
        <w:t>Moratorium Policy</w:t>
      </w:r>
    </w:p>
    <w:p w14:paraId="661415CF" w14:textId="77777777" w:rsidR="00FC28DA" w:rsidRPr="00FC28DA" w:rsidRDefault="00FC28DA" w:rsidP="00FC28DA">
      <w:pPr>
        <w:pStyle w:val="ListParagraph"/>
        <w:spacing w:before="120" w:line="288" w:lineRule="auto"/>
        <w:ind w:left="0" w:firstLine="567"/>
        <w:contextualSpacing w:val="0"/>
        <w:jc w:val="both"/>
      </w:pPr>
      <w:r w:rsidRPr="00FC28DA">
        <w:t xml:space="preserve">The moratorium on regional expansion is primarily a matter of policy priorities in national development. Among the various policy options available, the government must select which initiatives to prioritize. Based on interviews conducted by researchers, the proposed sub-district expansion in </w:t>
      </w:r>
      <w:proofErr w:type="spellStart"/>
      <w:r w:rsidRPr="00FC28DA">
        <w:t>Monta</w:t>
      </w:r>
      <w:proofErr w:type="spellEnd"/>
      <w:r w:rsidRPr="00FC28DA">
        <w:t xml:space="preserve"> Selatan arises from pressing community needs.</w:t>
      </w:r>
    </w:p>
    <w:p w14:paraId="40CF301C" w14:textId="77777777" w:rsidR="002E007F" w:rsidRDefault="00FC28DA" w:rsidP="002E007F">
      <w:pPr>
        <w:pStyle w:val="ListParagraph"/>
        <w:spacing w:before="120" w:line="288" w:lineRule="auto"/>
        <w:ind w:left="0" w:firstLine="567"/>
        <w:contextualSpacing w:val="0"/>
        <w:jc w:val="both"/>
      </w:pPr>
      <w:r w:rsidRPr="00FC28DA">
        <w:lastRenderedPageBreak/>
        <w:t>According to respondents, the main reasons behind the demand for a new sub-district include limited access to certain areas, inadequate infrastructure, as well as difficulties in accessing education and healthcare services. These factors have become strong justifications for the community’s aspiration to establish a new sub-district that can better serve their needs.</w:t>
      </w:r>
      <w:r w:rsidRPr="00FC28DA">
        <w:rPr>
          <w:rStyle w:val="FootnoteReference"/>
          <w:rFonts w:eastAsia="MS Mincho"/>
        </w:rPr>
        <w:footnoteReference w:id="10"/>
      </w:r>
    </w:p>
    <w:p w14:paraId="1D07F370" w14:textId="677583F4" w:rsidR="002E007F" w:rsidRPr="00530C05" w:rsidRDefault="002E007F" w:rsidP="00530C05">
      <w:pPr>
        <w:pStyle w:val="Heading3"/>
        <w:rPr>
          <w:rStyle w:val="Strong"/>
          <w:b w:val="0"/>
          <w:i w:val="0"/>
          <w:sz w:val="24"/>
        </w:rPr>
      </w:pPr>
      <w:r w:rsidRPr="00530C05">
        <w:rPr>
          <w:rStyle w:val="Strong"/>
          <w:bCs/>
          <w:i w:val="0"/>
          <w:sz w:val="24"/>
        </w:rPr>
        <w:t>Political Aspects</w:t>
      </w:r>
    </w:p>
    <w:p w14:paraId="27972536" w14:textId="6C03CB07" w:rsidR="002E007F" w:rsidRPr="00EA57BD" w:rsidRDefault="002E007F" w:rsidP="00EA57BD">
      <w:pPr>
        <w:spacing w:before="120"/>
        <w:ind w:firstLine="567"/>
        <w:jc w:val="both"/>
        <w:rPr>
          <w:rFonts w:ascii="Times New Roman" w:hAnsi="Times New Roman"/>
          <w:sz w:val="24"/>
          <w:szCs w:val="24"/>
        </w:rPr>
      </w:pPr>
      <w:r w:rsidRPr="00530C05">
        <w:rPr>
          <w:rFonts w:ascii="Times New Roman" w:eastAsia="Batang" w:hAnsi="Times New Roman"/>
          <w:sz w:val="24"/>
          <w:szCs w:val="24"/>
          <w:lang w:eastAsia="ko-KR"/>
        </w:rPr>
        <w:t xml:space="preserve">The expansion process of </w:t>
      </w:r>
      <w:proofErr w:type="spellStart"/>
      <w:r w:rsidRPr="00530C05">
        <w:rPr>
          <w:rFonts w:ascii="Times New Roman" w:eastAsia="Batang" w:hAnsi="Times New Roman"/>
          <w:sz w:val="24"/>
          <w:szCs w:val="24"/>
          <w:lang w:eastAsia="ko-KR"/>
        </w:rPr>
        <w:t>Monta</w:t>
      </w:r>
      <w:proofErr w:type="spellEnd"/>
      <w:r w:rsidRPr="00530C05">
        <w:rPr>
          <w:rFonts w:ascii="Times New Roman" w:eastAsia="Batang" w:hAnsi="Times New Roman"/>
          <w:sz w:val="24"/>
          <w:szCs w:val="24"/>
          <w:lang w:eastAsia="ko-KR"/>
        </w:rPr>
        <w:t xml:space="preserve"> Selatan Sub-District is inevitably influenced by political and individual interests. In some cases, a lack of concern for public welfare has been observed, with greater emphasis placed on political positions and power rather than addressing community needs. This has contributed to growing pessimism among residents regarding th</w:t>
      </w:r>
      <w:r w:rsidR="00530C05" w:rsidRPr="00530C05">
        <w:rPr>
          <w:rFonts w:ascii="Times New Roman" w:eastAsia="Batang" w:hAnsi="Times New Roman"/>
          <w:sz w:val="24"/>
          <w:szCs w:val="24"/>
          <w:lang w:eastAsia="ko-KR"/>
        </w:rPr>
        <w:t xml:space="preserve">e realization of the expansion. </w:t>
      </w:r>
      <w:r w:rsidRPr="00530C05">
        <w:rPr>
          <w:rFonts w:ascii="Times New Roman" w:eastAsia="Batang" w:hAnsi="Times New Roman"/>
          <w:sz w:val="24"/>
          <w:szCs w:val="24"/>
          <w:lang w:eastAsia="ko-KR"/>
        </w:rPr>
        <w:t>The long-standing demands for sub-district expansion that have been submitted to the regional government (</w:t>
      </w:r>
      <w:proofErr w:type="spellStart"/>
      <w:r w:rsidRPr="00530C05">
        <w:rPr>
          <w:rFonts w:ascii="Times New Roman" w:eastAsia="Batang" w:hAnsi="Times New Roman"/>
          <w:sz w:val="24"/>
          <w:szCs w:val="24"/>
          <w:lang w:eastAsia="ko-KR"/>
        </w:rPr>
        <w:t>Pemda</w:t>
      </w:r>
      <w:proofErr w:type="spellEnd"/>
      <w:r w:rsidRPr="00530C05">
        <w:rPr>
          <w:rFonts w:ascii="Times New Roman" w:eastAsia="Batang" w:hAnsi="Times New Roman"/>
          <w:sz w:val="24"/>
          <w:szCs w:val="24"/>
          <w:lang w:eastAsia="ko-KR"/>
        </w:rPr>
        <w:t>) remain unfulfilled, further delaying the process. Additionally, the political dynamics surrounding the expansion proposal are highly complex, involving interactions between the legislative and executive branches, local government institutions, and the sub-district expansion committee</w:t>
      </w:r>
      <w:r w:rsidR="00530C05" w:rsidRPr="00530C05">
        <w:rPr>
          <w:rFonts w:ascii="Times New Roman" w:eastAsia="Batang" w:hAnsi="Times New Roman"/>
          <w:sz w:val="24"/>
          <w:szCs w:val="24"/>
          <w:lang w:eastAsia="ko-KR"/>
        </w:rPr>
        <w:t xml:space="preserve">. </w:t>
      </w:r>
      <w:r w:rsidRPr="00530C05">
        <w:rPr>
          <w:rFonts w:ascii="Times New Roman" w:eastAsia="Batang" w:hAnsi="Times New Roman"/>
          <w:sz w:val="24"/>
          <w:szCs w:val="24"/>
          <w:lang w:eastAsia="ko-KR"/>
        </w:rPr>
        <w:t>The bureaucratic challenges at the regional and provincial levels have created further obstacles, making the approval process lengthy and difficult. As a result, the sub-district expansion plan continues to face significant political and administrative hurdles</w:t>
      </w:r>
      <w:r w:rsidR="00530C05">
        <w:t>.</w:t>
      </w:r>
      <w:r w:rsidR="00530C05" w:rsidRPr="00530C05">
        <w:rPr>
          <w:rStyle w:val="FootnoteReference"/>
          <w:rFonts w:ascii="Times New Roman" w:eastAsia="MS Mincho" w:hAnsi="Times New Roman"/>
          <w:sz w:val="24"/>
          <w:szCs w:val="24"/>
        </w:rPr>
        <w:footnoteReference w:id="11"/>
      </w:r>
    </w:p>
    <w:p w14:paraId="4BC5CC17" w14:textId="6BCC44C6" w:rsidR="00EA57BD" w:rsidRDefault="00EA57BD" w:rsidP="00EA57BD">
      <w:pPr>
        <w:pStyle w:val="ListParagraph"/>
        <w:spacing w:before="120" w:line="288" w:lineRule="auto"/>
        <w:ind w:left="0" w:firstLine="567"/>
        <w:contextualSpacing w:val="0"/>
        <w:jc w:val="both"/>
      </w:pPr>
      <w:r w:rsidRPr="00EA57BD">
        <w:t xml:space="preserve">Based on the interview, the author processed the data into scientific language. One of the main factors preventing the establishment of a new sub-district is political interests. This is due to the presence of individual or group interests that pose significant risks to the well-being of the </w:t>
      </w:r>
      <w:proofErr w:type="spellStart"/>
      <w:r w:rsidRPr="00EA57BD">
        <w:t>Monta</w:t>
      </w:r>
      <w:proofErr w:type="spellEnd"/>
      <w:r w:rsidRPr="00EA57BD">
        <w:t xml:space="preserve"> Selatan community.</w:t>
      </w:r>
      <w:r>
        <w:rPr>
          <w:lang w:val="id-ID"/>
        </w:rPr>
        <w:t xml:space="preserve"> </w:t>
      </w:r>
      <w:r w:rsidRPr="00EA57BD">
        <w:t>In the context of good governance, several key principles must be upheld, including public participation, adherence to the rule of law, transparency, concern for stakeholders, consensus orientation, equality, efficiency and effectiveness, accountability, and strategic vision.</w:t>
      </w:r>
      <w:r>
        <w:rPr>
          <w:lang w:val="id-ID"/>
        </w:rPr>
        <w:t xml:space="preserve"> </w:t>
      </w:r>
      <w:r w:rsidRPr="00EA57BD">
        <w:t>The implementation of good governance involves three main domains: the state (government), the private sector (business community), and civil society. These three entities must interact and carry out their respective responsibilities effectively. The application of good governance in these three domains can be described through their respective functions, the role of businesses, and the activities of community groups.</w:t>
      </w:r>
    </w:p>
    <w:p w14:paraId="4C23454E" w14:textId="7C134B4B" w:rsidR="00EA57BD" w:rsidRPr="007F1401" w:rsidRDefault="00EA57BD" w:rsidP="00EA57BD">
      <w:pPr>
        <w:pStyle w:val="ListParagraph"/>
        <w:spacing w:before="120" w:line="288" w:lineRule="auto"/>
        <w:ind w:left="0" w:firstLine="567"/>
        <w:contextualSpacing w:val="0"/>
        <w:jc w:val="both"/>
        <w:rPr>
          <w:rFonts w:asciiTheme="majorBidi" w:hAnsiTheme="majorBidi" w:cstheme="majorBidi"/>
        </w:rPr>
      </w:pPr>
      <w:r w:rsidRPr="00EA57BD">
        <w:t>The role of the government in achieving good governance can be assessed by evaluating the effectiveness and efficiency of its programs in achieving predetermined objectives. Conversely, inefficiency and ineffectiveness in public administration, development, and empowerment may indicate governance shortcomings.</w:t>
      </w:r>
      <w:r>
        <w:rPr>
          <w:lang w:val="id-ID"/>
        </w:rPr>
        <w:t xml:space="preserve"> </w:t>
      </w:r>
      <w:r w:rsidRPr="00EA57BD">
        <w:t xml:space="preserve">Following the </w:t>
      </w:r>
      <w:r w:rsidRPr="00EA57BD">
        <w:lastRenderedPageBreak/>
        <w:t>establishment of Monta Selatan as a new sub-district, the sub-district head (</w:t>
      </w:r>
      <w:r w:rsidRPr="00EA57BD">
        <w:rPr>
          <w:i/>
        </w:rPr>
        <w:t>camat</w:t>
      </w:r>
      <w:r w:rsidRPr="00EA57BD">
        <w:t>), along with relevant stakeholders, must enhance good governance practices to ensure public satisfaction and well-being. This effort should align with the primary objective of the sub-district’s formation, which is to deliver public administration services that are responsive to community needs.</w:t>
      </w:r>
      <w:r>
        <w:rPr>
          <w:rStyle w:val="FootnoteReference"/>
          <w:rFonts w:asciiTheme="majorBidi" w:hAnsiTheme="majorBidi" w:cstheme="majorBidi"/>
        </w:rPr>
        <w:footnoteReference w:id="12"/>
      </w:r>
      <w:r w:rsidRPr="007F1401">
        <w:rPr>
          <w:rFonts w:asciiTheme="majorBidi" w:hAnsiTheme="majorBidi" w:cstheme="majorBidi"/>
        </w:rPr>
        <w:t>.</w:t>
      </w:r>
    </w:p>
    <w:p w14:paraId="174EFBEC" w14:textId="2AD2A760" w:rsidR="00EA57BD" w:rsidRPr="00EA57BD" w:rsidRDefault="00EA57BD" w:rsidP="00EA57BD">
      <w:pPr>
        <w:pStyle w:val="ListParagraph"/>
        <w:spacing w:before="120" w:line="288" w:lineRule="auto"/>
        <w:ind w:left="0" w:firstLine="567"/>
        <w:contextualSpacing w:val="0"/>
        <w:jc w:val="both"/>
      </w:pPr>
      <w:r>
        <w:t>Regionalization can be seen as a means to enhance the sense of justice, as the establishment of new autonomous regions allows sub-district governments to better address the needs of marginalized communities. In many cases, new regions are formed because various stakeholders feel that their interests are not adequately considered by the parent government. Therefore, if they succeed in establishing a new administrative region, they gain the opportunity to manage their own governance and better serve their communities.</w:t>
      </w:r>
    </w:p>
    <w:p w14:paraId="58A57262" w14:textId="53B5D933" w:rsidR="00C26555" w:rsidRDefault="009175CF" w:rsidP="009175CF">
      <w:pPr>
        <w:pStyle w:val="ListParagraph"/>
        <w:spacing w:before="120" w:line="288" w:lineRule="auto"/>
        <w:ind w:left="0" w:firstLine="567"/>
        <w:contextualSpacing w:val="0"/>
        <w:jc w:val="both"/>
      </w:pPr>
      <w:r>
        <w:t>Therefore, the newly established autonomous regional government will be more attentive to the interests of its people. When a region is too vast, there is a concern that social services may become ineffective and inefficient. A regional government must provide equal services to all residents within its jurisdiction. An excessively large administrative area can lead to higher costs and greater resource demands for delivering public services. Consequently, this may result in municipal government services becoming less effective and efficient.</w:t>
      </w:r>
      <w:r>
        <w:rPr>
          <w:rStyle w:val="FootnoteReference"/>
          <w:rFonts w:asciiTheme="majorBidi" w:hAnsiTheme="majorBidi" w:cstheme="majorBidi"/>
        </w:rPr>
        <w:footnoteReference w:id="13"/>
      </w:r>
    </w:p>
    <w:p w14:paraId="61A6E781" w14:textId="52133254" w:rsidR="009175CF" w:rsidRPr="009175CF" w:rsidRDefault="009175CF" w:rsidP="009175CF">
      <w:pPr>
        <w:pStyle w:val="ListParagraph"/>
        <w:spacing w:before="120" w:line="288" w:lineRule="auto"/>
        <w:ind w:left="0" w:firstLine="567"/>
        <w:contextualSpacing w:val="0"/>
        <w:jc w:val="both"/>
      </w:pPr>
      <w:r w:rsidRPr="009175CF">
        <w:t>As a supporting element of this feasibility study, together with the community, the Village Consultative Body (Badan Permusyawaratan Desa or BPD), and village heads across the region, information on the proposed division of Monta Sub-district into two sub-districts is provided in accordance with applicable regulations. In this scenario, Monta Utara would serve as the parent sub-district, while Monta Selatan would become the newly established sub-district.</w:t>
      </w:r>
      <w:r>
        <w:rPr>
          <w:lang w:val="id-ID"/>
        </w:rPr>
        <w:t xml:space="preserve"> </w:t>
      </w:r>
      <w:r w:rsidRPr="009175CF">
        <w:t>However, this scenario requires a thorough examination through three key studies: philosophical, juridical, and sociological aspects. These aspects are closely related to governmental infrastructure, the administration of the parent sub-district, as well as the involvement of village heads, BPD members, and urban ward leaders (lurah) in developing the necessary government facilities. This collaborative effort aims to enhance public services and improve the well-being of the community.</w:t>
      </w:r>
      <w:r>
        <w:rPr>
          <w:rStyle w:val="FootnoteReference"/>
          <w:rFonts w:asciiTheme="majorBidi" w:hAnsiTheme="majorBidi" w:cstheme="majorBidi"/>
        </w:rPr>
        <w:footnoteReference w:id="14"/>
      </w:r>
      <w:r w:rsidRPr="007F1401">
        <w:rPr>
          <w:rFonts w:asciiTheme="majorBidi" w:hAnsiTheme="majorBidi" w:cstheme="majorBidi"/>
        </w:rPr>
        <w:t>.</w:t>
      </w:r>
    </w:p>
    <w:p w14:paraId="025A6A26" w14:textId="7BA17BB2" w:rsidR="009175CF" w:rsidRDefault="009175CF" w:rsidP="008719F3">
      <w:pPr>
        <w:pStyle w:val="ListParagraph"/>
        <w:spacing w:before="120" w:line="288" w:lineRule="auto"/>
        <w:ind w:left="0" w:firstLine="567"/>
        <w:contextualSpacing w:val="0"/>
        <w:jc w:val="both"/>
        <w:rPr>
          <w:rFonts w:asciiTheme="majorBidi" w:hAnsiTheme="majorBidi" w:cstheme="majorBidi"/>
        </w:rPr>
      </w:pPr>
      <w:r w:rsidRPr="009175CF">
        <w:t xml:space="preserve">The formation of a sub-district (kecamatan) can be carried out through the division of one sub-district into two or more sub-districts or by merging parts of adjacent sub-districts </w:t>
      </w:r>
      <w:r w:rsidRPr="009175CF">
        <w:lastRenderedPageBreak/>
        <w:t>within the same regency (kabupaten) or city (kota) to create a new sub-district. However, the term pemekaran (expansion) is often used as a more refined expression to describe the process of territorial separation or division for the establishment of one or more new local administrative units.</w:t>
      </w:r>
      <w:r w:rsidR="008719F3">
        <w:rPr>
          <w:lang w:val="id-ID"/>
        </w:rPr>
        <w:t xml:space="preserve"> </w:t>
      </w:r>
      <w:r w:rsidRPr="009175CF">
        <w:t xml:space="preserve">Since the terms "separation" or "division" may carry negative connotations, the process is more commonly referred to as </w:t>
      </w:r>
      <w:r w:rsidRPr="008719F3">
        <w:t>pemekaran daerah</w:t>
      </w:r>
      <w:r w:rsidRPr="009175CF">
        <w:t xml:space="preserve"> (regional expansion). This term can be interpreted as a process of regional growth that occurs as a consequence of territorial development and demographic changes.</w:t>
      </w:r>
      <w:r>
        <w:rPr>
          <w:rStyle w:val="FootnoteReference"/>
          <w:rFonts w:asciiTheme="majorBidi" w:hAnsiTheme="majorBidi" w:cstheme="majorBidi"/>
        </w:rPr>
        <w:footnoteReference w:id="15"/>
      </w:r>
      <w:r w:rsidRPr="008719F3">
        <w:rPr>
          <w:rFonts w:asciiTheme="majorBidi" w:hAnsiTheme="majorBidi" w:cstheme="majorBidi"/>
        </w:rPr>
        <w:t>.</w:t>
      </w:r>
    </w:p>
    <w:p w14:paraId="62FE0DCA" w14:textId="2EEC1325" w:rsidR="008719F3" w:rsidRDefault="008719F3" w:rsidP="008719F3">
      <w:pPr>
        <w:pStyle w:val="ListParagraph"/>
        <w:spacing w:before="120" w:line="288" w:lineRule="auto"/>
        <w:ind w:left="0" w:firstLine="567"/>
        <w:contextualSpacing w:val="0"/>
        <w:jc w:val="both"/>
        <w:rPr>
          <w:lang w:val="id-ID"/>
        </w:rPr>
      </w:pPr>
      <w:r w:rsidRPr="008719F3">
        <w:t>The geographical condition of Monta Selatan Sub-district is that of a newly established administrative region in Bima Regency, formed based on Law No. 23 of 2014 on Regional Government and Government Regulation No. 17 of 2018 on Sub-districts. The distance from villages to the sub-district government center is approximately 8 km, with a travel time of around 40 minutes. The distance from the sub-district capital to the regency capital is about 20 km, with an estimated travel time of 1 hour.</w:t>
      </w:r>
      <w:r>
        <w:rPr>
          <w:lang w:val="id-ID"/>
        </w:rPr>
        <w:t xml:space="preserve"> </w:t>
      </w:r>
      <w:r w:rsidRPr="008719F3">
        <w:rPr>
          <w:lang w:val="id-ID" w:eastAsia="id-ID"/>
        </w:rPr>
        <w:t>The territorial boundaries of Monta Sela</w:t>
      </w:r>
      <w:r>
        <w:rPr>
          <w:lang w:val="id-ID" w:eastAsia="id-ID"/>
        </w:rPr>
        <w:t xml:space="preserve">tan Sub-district are as follows </w:t>
      </w:r>
      <w:r w:rsidRPr="008719F3">
        <w:t xml:space="preserve">North Borders </w:t>
      </w:r>
      <w:proofErr w:type="spellStart"/>
      <w:r w:rsidRPr="008719F3">
        <w:t>Woha</w:t>
      </w:r>
      <w:proofErr w:type="spellEnd"/>
      <w:r w:rsidRPr="008719F3">
        <w:t xml:space="preserve"> Sub-district</w:t>
      </w:r>
      <w:r>
        <w:rPr>
          <w:lang w:val="id-ID"/>
        </w:rPr>
        <w:t xml:space="preserve">, </w:t>
      </w:r>
      <w:r w:rsidRPr="008719F3">
        <w:t>South: Borders the Indonesian Ocean</w:t>
      </w:r>
      <w:r>
        <w:rPr>
          <w:lang w:val="id-ID"/>
        </w:rPr>
        <w:t xml:space="preserve">, </w:t>
      </w:r>
      <w:r w:rsidRPr="008719F3">
        <w:t xml:space="preserve">West: Borders </w:t>
      </w:r>
      <w:proofErr w:type="spellStart"/>
      <w:r w:rsidRPr="008719F3">
        <w:t>Parado</w:t>
      </w:r>
      <w:proofErr w:type="spellEnd"/>
      <w:r w:rsidRPr="008719F3">
        <w:t xml:space="preserve"> Sub-district</w:t>
      </w:r>
      <w:r>
        <w:rPr>
          <w:lang w:val="id-ID"/>
        </w:rPr>
        <w:t xml:space="preserve">, </w:t>
      </w:r>
      <w:r w:rsidRPr="008719F3">
        <w:t>East: Borders Belo Sub-district</w:t>
      </w:r>
      <w:r>
        <w:rPr>
          <w:lang w:val="id-ID"/>
        </w:rPr>
        <w:t>.</w:t>
      </w:r>
    </w:p>
    <w:p w14:paraId="7E1312A1" w14:textId="218E76A8" w:rsidR="008719F3" w:rsidRDefault="008719F3" w:rsidP="008719F3">
      <w:pPr>
        <w:pStyle w:val="ListParagraph"/>
        <w:spacing w:before="120" w:line="288" w:lineRule="auto"/>
        <w:ind w:left="0" w:firstLine="567"/>
        <w:contextualSpacing w:val="0"/>
        <w:jc w:val="both"/>
      </w:pPr>
      <w:proofErr w:type="spellStart"/>
      <w:r w:rsidRPr="008719F3">
        <w:t>Monta</w:t>
      </w:r>
      <w:proofErr w:type="spellEnd"/>
      <w:r w:rsidRPr="008719F3">
        <w:t xml:space="preserve"> Selatan Sub-district covers an area of approximately </w:t>
      </w:r>
      <w:r w:rsidRPr="008719F3">
        <w:t>227.52 km²</w:t>
      </w:r>
      <w:r w:rsidRPr="008719F3">
        <w:t xml:space="preserve">, with temperatures ranging between </w:t>
      </w:r>
      <w:r w:rsidRPr="008719F3">
        <w:t>20°C and 33°C</w:t>
      </w:r>
      <w:r w:rsidRPr="008719F3">
        <w:t xml:space="preserve">. The area's elevation is around </w:t>
      </w:r>
      <w:r w:rsidRPr="008719F3">
        <w:t>10 km above sea level</w:t>
      </w:r>
      <w:r w:rsidRPr="008719F3">
        <w:t xml:space="preserve">. The natural landscape consists of </w:t>
      </w:r>
      <w:r w:rsidRPr="008719F3">
        <w:t>lowlands</w:t>
      </w:r>
      <w:r w:rsidRPr="008719F3">
        <w:t xml:space="preserve"> with a </w:t>
      </w:r>
      <w:r w:rsidRPr="008719F3">
        <w:t>tropical mountain climate</w:t>
      </w:r>
      <w:r w:rsidRPr="008719F3">
        <w:t xml:space="preserve">, influenced by </w:t>
      </w:r>
      <w:r w:rsidRPr="008719F3">
        <w:t>two seasons</w:t>
      </w:r>
      <w:r w:rsidRPr="008719F3">
        <w:t>: the rainy season and the dry season.</w:t>
      </w:r>
      <w:r>
        <w:rPr>
          <w:lang w:val="id-ID"/>
        </w:rPr>
        <w:t xml:space="preserve"> </w:t>
      </w:r>
      <w:r w:rsidRPr="008719F3">
        <w:t xml:space="preserve">Based on population registration data, the total population of </w:t>
      </w:r>
      <w:proofErr w:type="spellStart"/>
      <w:r w:rsidRPr="008719F3">
        <w:t>Monta</w:t>
      </w:r>
      <w:proofErr w:type="spellEnd"/>
      <w:r w:rsidRPr="008719F3">
        <w:t xml:space="preserve"> Selatan Sub-district in </w:t>
      </w:r>
      <w:r w:rsidRPr="008719F3">
        <w:t>2020</w:t>
      </w:r>
      <w:r w:rsidRPr="008719F3">
        <w:t xml:space="preserve"> was </w:t>
      </w:r>
      <w:r w:rsidRPr="008719F3">
        <w:t>39,115 people</w:t>
      </w:r>
      <w:r w:rsidRPr="008719F3">
        <w:t xml:space="preserve">, of which </w:t>
      </w:r>
      <w:r w:rsidRPr="008719F3">
        <w:t>19,556 were male residents</w:t>
      </w:r>
      <w:r w:rsidRPr="008719F3">
        <w:t>.</w:t>
      </w:r>
    </w:p>
    <w:p w14:paraId="67820A61" w14:textId="1886EAF8" w:rsidR="008719F3" w:rsidRDefault="00B77D54" w:rsidP="00B77D54">
      <w:pPr>
        <w:pStyle w:val="ListParagraph"/>
        <w:spacing w:before="120" w:line="288" w:lineRule="auto"/>
        <w:ind w:left="0" w:firstLine="567"/>
        <w:contextualSpacing w:val="0"/>
        <w:jc w:val="both"/>
      </w:pPr>
      <w:r w:rsidRPr="00B77D54">
        <w:t>The comparison between the male and female population can be seen through the sex ratio, which shows a figure of less than 100. This indicates that the population in Monta Selatan Sub-district is relatively balanced between men and women.</w:t>
      </w:r>
      <w:r>
        <w:rPr>
          <w:lang w:val="id-ID"/>
        </w:rPr>
        <w:t xml:space="preserve"> </w:t>
      </w:r>
      <w:r w:rsidRPr="00B77D54">
        <w:t>In relation to the total area, Monta Selatan has a population density of 172 people per square kilometer. The capital of Monta Selatan Sub-district is located in Sondo Village, covering 24.58 km² and is divided into seven villages.</w:t>
      </w:r>
      <w:r>
        <w:rPr>
          <w:rStyle w:val="FootnoteReference"/>
          <w:rFonts w:asciiTheme="majorBidi" w:hAnsiTheme="majorBidi" w:cstheme="majorBidi"/>
        </w:rPr>
        <w:footnoteReference w:id="16"/>
      </w:r>
    </w:p>
    <w:p w14:paraId="6A0CB20A" w14:textId="494CE481" w:rsidR="0065280A" w:rsidRPr="00923AD2" w:rsidRDefault="0065280A" w:rsidP="0065280A">
      <w:pPr>
        <w:pStyle w:val="Heading1"/>
      </w:pPr>
      <w:r w:rsidRPr="00923AD2">
        <w:t>Conclusion</w:t>
      </w:r>
      <w:r w:rsidR="00923AD2">
        <w:rPr>
          <w:lang w:val="id-ID"/>
        </w:rPr>
        <w:t xml:space="preserve"> </w:t>
      </w:r>
    </w:p>
    <w:p w14:paraId="7F696E76" w14:textId="64EA5BFF" w:rsidR="00B77D54" w:rsidRDefault="00B77D54" w:rsidP="00B77D54">
      <w:pPr>
        <w:pStyle w:val="ListParagraph"/>
        <w:spacing w:before="120" w:line="288" w:lineRule="auto"/>
        <w:ind w:left="0" w:firstLine="567"/>
        <w:contextualSpacing w:val="0"/>
        <w:jc w:val="both"/>
      </w:pPr>
      <w:r w:rsidRPr="00B77D54">
        <w:t>Based on the research findings, it can be concluded that the division of Monta Sub-district into two regions, namely Monta Utara and Monta Selatan, is a strategic step in enhancing the effectiveness of local governance and public services.</w:t>
      </w:r>
      <w:r>
        <w:rPr>
          <w:lang w:val="id-ID"/>
        </w:rPr>
        <w:t xml:space="preserve"> </w:t>
      </w:r>
      <w:r w:rsidRPr="00B77D54">
        <w:t xml:space="preserve">From a legal perspective, this regional expansion must comply with the provisions outlined in Government Regulation No. 17 of 2018 on Sub-districts and the procedures stipulated in </w:t>
      </w:r>
      <w:r w:rsidRPr="00B77D54">
        <w:lastRenderedPageBreak/>
        <w:t>Article 221, Paragraph 1 of Law No. 23 of 2014 on Regional Government. Additionally, the sub-district expansion must take into account administrative, technical, and resource capacity factors to ensure that the process aligns with the applicable regulations.</w:t>
      </w:r>
    </w:p>
    <w:p w14:paraId="3E53EF2B" w14:textId="281A28B1" w:rsidR="00B77D54" w:rsidRDefault="00527A05" w:rsidP="00C00593">
      <w:pPr>
        <w:pStyle w:val="ListParagraph"/>
        <w:spacing w:before="120" w:line="288" w:lineRule="auto"/>
        <w:ind w:left="0" w:firstLine="567"/>
        <w:contextualSpacing w:val="0"/>
        <w:jc w:val="both"/>
      </w:pPr>
      <w:r w:rsidRPr="00527A05">
        <w:t>However, in its implementation, several obstacles hinder the sub-district expansion, including the moratorium on regional expansion, political factors, and limitations in infrastructure and regional budgets. These challenges indicate that the process of sub-district expansion is not solely dependent on legal aspects but also influenced by social, economic, and political dynamics at both regional and national levels.</w:t>
      </w:r>
      <w:r>
        <w:rPr>
          <w:lang w:val="id-ID"/>
        </w:rPr>
        <w:t xml:space="preserve"> </w:t>
      </w:r>
      <w:r w:rsidRPr="00527A05">
        <w:t xml:space="preserve">Therefore, effective coordination between local and central governments, along with active community involvement in the decision-making process, is essential to ensure that the expansion provides optimal benefits for the people of </w:t>
      </w:r>
      <w:proofErr w:type="spellStart"/>
      <w:r w:rsidRPr="00527A05">
        <w:t>Monta</w:t>
      </w:r>
      <w:proofErr w:type="spellEnd"/>
      <w:r w:rsidRPr="00527A05">
        <w:t>.</w:t>
      </w:r>
    </w:p>
    <w:p w14:paraId="06C9B2A2" w14:textId="3954BADC" w:rsidR="00B23FE5" w:rsidRPr="00923AD2" w:rsidRDefault="00EF5644" w:rsidP="00B23FE5">
      <w:pPr>
        <w:pStyle w:val="Heading1"/>
      </w:pPr>
      <w:r w:rsidRPr="00EF5644">
        <w:rPr>
          <w:lang w:val="id-ID"/>
        </w:rPr>
        <w:t>Acknowledgment</w:t>
      </w:r>
    </w:p>
    <w:p w14:paraId="0E97DCC1" w14:textId="37C74621" w:rsidR="00C00593" w:rsidRDefault="00C00593" w:rsidP="0062177C">
      <w:pPr>
        <w:pStyle w:val="ListParagraph"/>
        <w:spacing w:before="120" w:line="288" w:lineRule="auto"/>
        <w:ind w:left="0" w:firstLine="567"/>
        <w:contextualSpacing w:val="0"/>
        <w:jc w:val="both"/>
      </w:pPr>
      <w:r w:rsidRPr="00C00593">
        <w:t>The author expresses profound gratitude to Muhammadiyah University of Bima for its full support in conducting this research, both in terms of academic facilities and scientific guidance. Special thanks are also extended to Al-Adalah: Jurnal Hukum dan Politik Islam, Faculty of Sharia, State Islamic Institute (IAIN) Bone, Indonesia, for providing the opportunity to publish this article, enabling the research findings to contribute to the development of legal studies, particularly in the field of regional governance and territorial expansion.</w:t>
      </w:r>
      <w:r>
        <w:rPr>
          <w:lang w:val="id-ID"/>
        </w:rPr>
        <w:t xml:space="preserve"> </w:t>
      </w:r>
      <w:r w:rsidRPr="00C00593">
        <w:t>The support from various parties has been invaluable in completing this research, and the author hopes that this contribution will serve as a part of the effort to enrich academic perspectives and legal policy development in Indonesia.</w:t>
      </w:r>
    </w:p>
    <w:p w14:paraId="02257CC4" w14:textId="29FEF304" w:rsidR="00B23FE5" w:rsidRPr="00923AD2" w:rsidRDefault="00C00593" w:rsidP="00B23FE5">
      <w:pPr>
        <w:pStyle w:val="Heading1"/>
      </w:pPr>
      <w:r>
        <w:rPr>
          <w:lang w:val="id-ID"/>
        </w:rPr>
        <w:t>Refrences</w:t>
      </w:r>
    </w:p>
    <w:p w14:paraId="5DE0CCDF" w14:textId="627E5926"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szCs w:val="24"/>
        </w:rPr>
      </w:pPr>
      <w:r>
        <w:fldChar w:fldCharType="begin" w:fldLock="1"/>
      </w:r>
      <w:r>
        <w:instrText xml:space="preserve">ADDIN Mendeley Bibliography CSL_BIBLIOGRAPHY </w:instrText>
      </w:r>
      <w:r>
        <w:fldChar w:fldCharType="separate"/>
      </w:r>
      <w:r w:rsidRPr="00C00593">
        <w:rPr>
          <w:rFonts w:ascii="Times New Roman" w:hAnsi="Times New Roman"/>
          <w:noProof/>
          <w:szCs w:val="24"/>
        </w:rPr>
        <w:t xml:space="preserve">Aguswan, 2Abdul Mirad, 5Elly Nielwaty 3Wasiah Sufi, 4Dwi Herlinda, and Universitas Lancang Kuning 1, 2, 3, 4, 5Fakultas Ilmu Administrasi. “Perwujudan Good Governance Pasca Pemekaran Kecamatan Binawidya Kota Pekanbaru.” </w:t>
      </w:r>
      <w:r w:rsidRPr="00C00593">
        <w:rPr>
          <w:rFonts w:ascii="Times New Roman" w:hAnsi="Times New Roman"/>
          <w:i/>
          <w:iCs/>
          <w:noProof/>
          <w:szCs w:val="24"/>
        </w:rPr>
        <w:t>The Indonesian Journal of Public Administration (IJPA)</w:t>
      </w:r>
      <w:r w:rsidRPr="00C00593">
        <w:rPr>
          <w:rFonts w:ascii="Times New Roman" w:hAnsi="Times New Roman"/>
          <w:noProof/>
          <w:szCs w:val="24"/>
        </w:rPr>
        <w:t xml:space="preserve"> 9, no. 1 (2023): 56–67. https://doi.org/10.52447/ijpa.v9i1.6894.</w:t>
      </w:r>
    </w:p>
    <w:p w14:paraId="14206593" w14:textId="4303E96E"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szCs w:val="24"/>
        </w:rPr>
      </w:pPr>
      <w:r w:rsidRPr="00C00593">
        <w:rPr>
          <w:rFonts w:ascii="Times New Roman" w:hAnsi="Times New Roman"/>
          <w:noProof/>
          <w:szCs w:val="24"/>
        </w:rPr>
        <w:t xml:space="preserve">Andi Tenri1, Rahmawati11, La Didi1, Rosnani Said2, Andy Arya Maulana Wijaya3. </w:t>
      </w:r>
      <w:r w:rsidR="00A835D2" w:rsidRPr="00C00593">
        <w:rPr>
          <w:rFonts w:ascii="Times New Roman" w:hAnsi="Times New Roman"/>
          <w:noProof/>
          <w:szCs w:val="24"/>
        </w:rPr>
        <w:t>“Analisis kelayakan pemekarankecamatan kapontori kabupaten buton.”</w:t>
      </w:r>
      <w:r w:rsidRPr="00C00593">
        <w:rPr>
          <w:rFonts w:ascii="Times New Roman" w:hAnsi="Times New Roman"/>
          <w:noProof/>
          <w:szCs w:val="24"/>
        </w:rPr>
        <w:t xml:space="preserve"> </w:t>
      </w:r>
      <w:r w:rsidRPr="00C00593">
        <w:rPr>
          <w:rFonts w:ascii="Times New Roman" w:hAnsi="Times New Roman"/>
          <w:i/>
          <w:iCs/>
          <w:noProof/>
          <w:szCs w:val="24"/>
        </w:rPr>
        <w:t>Jurnal Hukum Dan Adat</w:t>
      </w:r>
      <w:r w:rsidRPr="00C00593">
        <w:rPr>
          <w:rFonts w:ascii="Times New Roman" w:hAnsi="Times New Roman"/>
          <w:noProof/>
          <w:szCs w:val="24"/>
        </w:rPr>
        <w:t xml:space="preserve"> Vol. 1, No, no. 1 (2023): 13–23.</w:t>
      </w:r>
    </w:p>
    <w:p w14:paraId="39E574B8" w14:textId="77777777"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szCs w:val="24"/>
        </w:rPr>
      </w:pPr>
      <w:r w:rsidRPr="00C00593">
        <w:rPr>
          <w:rFonts w:ascii="Times New Roman" w:hAnsi="Times New Roman"/>
          <w:noProof/>
          <w:szCs w:val="24"/>
        </w:rPr>
        <w:t>Elsa Yolanda. “Dampak Pemekaran Wilayah Kecamatan Terhadap Pembangunan Infrastruktur Dan Peningkatan Kualitas Pelayanan Publik Di Kecamatan Danau Kerinci Barat Kabupaten Kerinci” 5, no. 2 (2023): 198.</w:t>
      </w:r>
    </w:p>
    <w:p w14:paraId="32BB9927" w14:textId="77777777"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szCs w:val="24"/>
        </w:rPr>
      </w:pPr>
      <w:r w:rsidRPr="00C00593">
        <w:rPr>
          <w:rFonts w:ascii="Times New Roman" w:hAnsi="Times New Roman"/>
          <w:noProof/>
          <w:szCs w:val="24"/>
        </w:rPr>
        <w:t>Ethnobiology, Integration. “Integration Ethnobiology and Conservation” 4, no. 1 (2021).</w:t>
      </w:r>
    </w:p>
    <w:p w14:paraId="61EF2CA1" w14:textId="534064C2"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szCs w:val="24"/>
        </w:rPr>
      </w:pPr>
      <w:r w:rsidRPr="00C00593">
        <w:rPr>
          <w:rFonts w:ascii="Times New Roman" w:hAnsi="Times New Roman"/>
          <w:noProof/>
          <w:szCs w:val="24"/>
        </w:rPr>
        <w:t xml:space="preserve">Hukum, Tinjauan, Positif Dan, Fiqih Siyasah, and D I Kabupaten Asahan. </w:t>
      </w:r>
      <w:r w:rsidR="00A835D2" w:rsidRPr="00C00593">
        <w:rPr>
          <w:rFonts w:ascii="Times New Roman" w:hAnsi="Times New Roman"/>
          <w:noProof/>
          <w:szCs w:val="24"/>
        </w:rPr>
        <w:t>“Menjadi Kecamatan Rawang Panca Arga “ Tinjauan Hukum Positif Dan Fiqih Siyasah,</w:t>
      </w:r>
      <w:r w:rsidRPr="00C00593">
        <w:rPr>
          <w:rFonts w:ascii="Times New Roman" w:hAnsi="Times New Roman"/>
          <w:noProof/>
          <w:szCs w:val="24"/>
        </w:rPr>
        <w:t>” 2021.</w:t>
      </w:r>
    </w:p>
    <w:p w14:paraId="2F9016EC" w14:textId="326DAAFE"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szCs w:val="24"/>
        </w:rPr>
      </w:pPr>
      <w:r w:rsidRPr="00C00593">
        <w:rPr>
          <w:rFonts w:ascii="Times New Roman" w:hAnsi="Times New Roman"/>
          <w:noProof/>
          <w:szCs w:val="24"/>
        </w:rPr>
        <w:t xml:space="preserve">Ichsan, Khairul. </w:t>
      </w:r>
      <w:r w:rsidR="00B517C7" w:rsidRPr="00C00593">
        <w:rPr>
          <w:rFonts w:ascii="Times New Roman" w:hAnsi="Times New Roman"/>
          <w:noProof/>
          <w:szCs w:val="24"/>
        </w:rPr>
        <w:t>“Peran Penyelenggara Pemerintahan Daerah Dalam Pemekaran Kecamatan Kandang Makmur Kota Lhokseumawe Provinsi Aceh</w:t>
      </w:r>
      <w:r w:rsidRPr="00C00593">
        <w:rPr>
          <w:rFonts w:ascii="Times New Roman" w:hAnsi="Times New Roman"/>
          <w:noProof/>
          <w:szCs w:val="24"/>
        </w:rPr>
        <w:t xml:space="preserve">.” </w:t>
      </w:r>
      <w:r w:rsidRPr="00C00593">
        <w:rPr>
          <w:rFonts w:ascii="Times New Roman" w:hAnsi="Times New Roman"/>
          <w:i/>
          <w:iCs/>
          <w:noProof/>
          <w:szCs w:val="24"/>
        </w:rPr>
        <w:t>Andrew’s Disease of the Skin Clinical Dermatology.</w:t>
      </w:r>
      <w:r w:rsidRPr="00C00593">
        <w:rPr>
          <w:rFonts w:ascii="Times New Roman" w:hAnsi="Times New Roman"/>
          <w:noProof/>
          <w:szCs w:val="24"/>
        </w:rPr>
        <w:t>, 2023.</w:t>
      </w:r>
    </w:p>
    <w:p w14:paraId="45CC2DEE" w14:textId="77777777"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szCs w:val="24"/>
        </w:rPr>
      </w:pPr>
      <w:r w:rsidRPr="00C00593">
        <w:rPr>
          <w:rFonts w:ascii="Times New Roman" w:hAnsi="Times New Roman"/>
          <w:noProof/>
          <w:szCs w:val="24"/>
        </w:rPr>
        <w:t xml:space="preserve">Ishak, Deding. “Analisis Penataan Kecamatan Di Kabupaten Sumba Barat Provinsi Nusa Tenggara </w:t>
      </w:r>
      <w:r w:rsidRPr="00C00593">
        <w:rPr>
          <w:rFonts w:ascii="Times New Roman" w:hAnsi="Times New Roman"/>
          <w:noProof/>
          <w:szCs w:val="24"/>
        </w:rPr>
        <w:lastRenderedPageBreak/>
        <w:t xml:space="preserve">Timur.” </w:t>
      </w:r>
      <w:r w:rsidRPr="00C00593">
        <w:rPr>
          <w:rFonts w:ascii="Times New Roman" w:hAnsi="Times New Roman"/>
          <w:i/>
          <w:iCs/>
          <w:noProof/>
          <w:szCs w:val="24"/>
        </w:rPr>
        <w:t>TRANSFORMASI: Jurnal Manajemen Pemerintahan</w:t>
      </w:r>
      <w:r w:rsidRPr="00C00593">
        <w:rPr>
          <w:rFonts w:ascii="Times New Roman" w:hAnsi="Times New Roman"/>
          <w:noProof/>
          <w:szCs w:val="24"/>
        </w:rPr>
        <w:t>, 2019, 183–98. https://doi.org/10.33701/jt.v8i2.619.</w:t>
      </w:r>
    </w:p>
    <w:p w14:paraId="450AE744" w14:textId="763B64D6" w:rsidR="00C00593" w:rsidRPr="00C00593" w:rsidRDefault="00A835D2" w:rsidP="00B517C7">
      <w:pPr>
        <w:widowControl w:val="0"/>
        <w:autoSpaceDE w:val="0"/>
        <w:autoSpaceDN w:val="0"/>
        <w:adjustRightInd w:val="0"/>
        <w:spacing w:after="120" w:line="240" w:lineRule="auto"/>
        <w:ind w:left="567" w:hanging="567"/>
        <w:jc w:val="both"/>
        <w:rPr>
          <w:rFonts w:ascii="Times New Roman" w:hAnsi="Times New Roman"/>
          <w:noProof/>
          <w:szCs w:val="24"/>
        </w:rPr>
      </w:pPr>
      <w:r w:rsidRPr="00C00593">
        <w:rPr>
          <w:rFonts w:ascii="Times New Roman" w:hAnsi="Times New Roman"/>
          <w:noProof/>
          <w:szCs w:val="24"/>
        </w:rPr>
        <w:t>kependudukan, pemekaran kecamatan bina widya kota pekanbaru dalam peningkatan pelayanan, and skripsi. “pemekaran kecamatan bina widya kota pekanbaru dalam peningkatan pelayanan kependudukan skripsi”</w:t>
      </w:r>
      <w:r w:rsidR="00C00593" w:rsidRPr="00C00593">
        <w:rPr>
          <w:rFonts w:ascii="Times New Roman" w:hAnsi="Times New Roman"/>
          <w:noProof/>
          <w:szCs w:val="24"/>
        </w:rPr>
        <w:t xml:space="preserve"> 5 (2023): 1–14.</w:t>
      </w:r>
    </w:p>
    <w:p w14:paraId="4E56F372" w14:textId="77777777"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szCs w:val="24"/>
        </w:rPr>
      </w:pPr>
      <w:r w:rsidRPr="00C00593">
        <w:rPr>
          <w:rFonts w:ascii="Times New Roman" w:hAnsi="Times New Roman"/>
          <w:noProof/>
          <w:szCs w:val="24"/>
        </w:rPr>
        <w:t xml:space="preserve">Ramdhani, Hilal. “Dinamika Elite Politik Lokal Mengenai Isu Penguasaan Sumber Daya Ekonomi Dalam Usulan Pemekaran Daerah.” </w:t>
      </w:r>
      <w:r w:rsidRPr="00C00593">
        <w:rPr>
          <w:rFonts w:ascii="Times New Roman" w:hAnsi="Times New Roman"/>
          <w:i/>
          <w:iCs/>
          <w:noProof/>
          <w:szCs w:val="24"/>
        </w:rPr>
        <w:t>Jurnal Academia Praja</w:t>
      </w:r>
      <w:r w:rsidRPr="00C00593">
        <w:rPr>
          <w:rFonts w:ascii="Times New Roman" w:hAnsi="Times New Roman"/>
          <w:noProof/>
          <w:szCs w:val="24"/>
        </w:rPr>
        <w:t xml:space="preserve"> 3, no. 2 (2020): 182–203. https://doi.org/10.36859/jap.v3i2.186.</w:t>
      </w:r>
    </w:p>
    <w:p w14:paraId="78C62AC9" w14:textId="77777777"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szCs w:val="24"/>
        </w:rPr>
      </w:pPr>
      <w:r w:rsidRPr="00C00593">
        <w:rPr>
          <w:rFonts w:ascii="Times New Roman" w:hAnsi="Times New Roman"/>
          <w:noProof/>
          <w:szCs w:val="24"/>
        </w:rPr>
        <w:t xml:space="preserve">Sari, Riowa Melina, and Dadang Mashur. “Strategi Percepatan Pergantian Administrasi Pasca Pemekaran Kecamatan Di Pekanbaru.” </w:t>
      </w:r>
      <w:r w:rsidRPr="00C00593">
        <w:rPr>
          <w:rFonts w:ascii="Times New Roman" w:hAnsi="Times New Roman"/>
          <w:i/>
          <w:iCs/>
          <w:noProof/>
          <w:szCs w:val="24"/>
        </w:rPr>
        <w:t>Jurnal Multilingual</w:t>
      </w:r>
      <w:r w:rsidRPr="00C00593">
        <w:rPr>
          <w:rFonts w:ascii="Times New Roman" w:hAnsi="Times New Roman"/>
          <w:noProof/>
          <w:szCs w:val="24"/>
        </w:rPr>
        <w:t xml:space="preserve"> 3, no. 3 (2023): 330–49.</w:t>
      </w:r>
    </w:p>
    <w:p w14:paraId="65646112" w14:textId="77777777"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szCs w:val="24"/>
        </w:rPr>
      </w:pPr>
      <w:r w:rsidRPr="00C00593">
        <w:rPr>
          <w:rFonts w:ascii="Times New Roman" w:hAnsi="Times New Roman"/>
          <w:noProof/>
          <w:szCs w:val="24"/>
        </w:rPr>
        <w:t xml:space="preserve">Septiani, Bella. “Faktor-Faktor Yang Menghambat Terbentuknya Pemekaran Provinsi Kapuas Raya Sebagai Provinsi Baru Di Kalimantan Barat.” </w:t>
      </w:r>
      <w:r w:rsidRPr="00C00593">
        <w:rPr>
          <w:rFonts w:ascii="Times New Roman" w:hAnsi="Times New Roman"/>
          <w:i/>
          <w:iCs/>
          <w:noProof/>
          <w:szCs w:val="24"/>
        </w:rPr>
        <w:t>ASPIRASI, Jurnal S-1 Ilmu Politik</w:t>
      </w:r>
      <w:r w:rsidRPr="00C00593">
        <w:rPr>
          <w:rFonts w:ascii="Times New Roman" w:hAnsi="Times New Roman"/>
          <w:noProof/>
          <w:szCs w:val="24"/>
        </w:rPr>
        <w:t>, 2021, 1–17.</w:t>
      </w:r>
    </w:p>
    <w:p w14:paraId="56ECD9B6" w14:textId="77777777"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szCs w:val="24"/>
        </w:rPr>
      </w:pPr>
      <w:r w:rsidRPr="00C00593">
        <w:rPr>
          <w:rFonts w:ascii="Times New Roman" w:hAnsi="Times New Roman"/>
          <w:noProof/>
          <w:szCs w:val="24"/>
        </w:rPr>
        <w:t xml:space="preserve">Syariah, Kelembagaan Bank, and Graha Ilmu. </w:t>
      </w:r>
      <w:r w:rsidRPr="00C00593">
        <w:rPr>
          <w:rFonts w:ascii="Times New Roman" w:hAnsi="Times New Roman"/>
          <w:i/>
          <w:iCs/>
          <w:noProof/>
          <w:szCs w:val="24"/>
        </w:rPr>
        <w:t>No Kecamatan Monta Dalam Angka 2021</w:t>
      </w:r>
      <w:r w:rsidRPr="00C00593">
        <w:rPr>
          <w:rFonts w:ascii="Times New Roman" w:hAnsi="Times New Roman"/>
          <w:noProof/>
          <w:szCs w:val="24"/>
        </w:rPr>
        <w:t>, n.d.</w:t>
      </w:r>
    </w:p>
    <w:p w14:paraId="576903B7" w14:textId="77777777"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szCs w:val="24"/>
        </w:rPr>
      </w:pPr>
      <w:r w:rsidRPr="00C00593">
        <w:rPr>
          <w:rFonts w:ascii="Times New Roman" w:hAnsi="Times New Roman"/>
          <w:noProof/>
          <w:szCs w:val="24"/>
        </w:rPr>
        <w:t xml:space="preserve">Syuaib, Moh Rusli, and Abd. Khalid Hs. Pandipa. “Implementasi Kebijakan Pemekaran Kecamatan Dalam Pelayanan Publik Di Kabupaten Poso.” </w:t>
      </w:r>
      <w:r w:rsidRPr="00C00593">
        <w:rPr>
          <w:rFonts w:ascii="Times New Roman" w:hAnsi="Times New Roman"/>
          <w:i/>
          <w:iCs/>
          <w:noProof/>
          <w:szCs w:val="24"/>
        </w:rPr>
        <w:t>Jurnal Ilmiah Administratie</w:t>
      </w:r>
      <w:r w:rsidRPr="00C00593">
        <w:rPr>
          <w:rFonts w:ascii="Times New Roman" w:hAnsi="Times New Roman"/>
          <w:noProof/>
          <w:szCs w:val="24"/>
        </w:rPr>
        <w:t xml:space="preserve"> 17, no. 1 (2021): 34–40.</w:t>
      </w:r>
    </w:p>
    <w:p w14:paraId="72C07332" w14:textId="77777777" w:rsidR="00C00593" w:rsidRPr="00C00593" w:rsidRDefault="00C00593" w:rsidP="00B517C7">
      <w:pPr>
        <w:widowControl w:val="0"/>
        <w:autoSpaceDE w:val="0"/>
        <w:autoSpaceDN w:val="0"/>
        <w:adjustRightInd w:val="0"/>
        <w:spacing w:after="120" w:line="240" w:lineRule="auto"/>
        <w:ind w:left="567" w:hanging="567"/>
        <w:jc w:val="both"/>
        <w:rPr>
          <w:rFonts w:ascii="Times New Roman" w:hAnsi="Times New Roman"/>
          <w:noProof/>
        </w:rPr>
      </w:pPr>
      <w:r w:rsidRPr="00C00593">
        <w:rPr>
          <w:rFonts w:ascii="Times New Roman" w:hAnsi="Times New Roman"/>
          <w:noProof/>
          <w:szCs w:val="24"/>
        </w:rPr>
        <w:t xml:space="preserve">Yulanda, A, and A Frinaldi. “Manajemen Infrastruktur Publik Pasca Pemekaran Kabupaten Kerinci Ditinjau Dari Perspektif Hukum Administrasi Negara.” </w:t>
      </w:r>
      <w:r w:rsidRPr="00C00593">
        <w:rPr>
          <w:rFonts w:ascii="Times New Roman" w:hAnsi="Times New Roman"/>
          <w:i/>
          <w:iCs/>
          <w:noProof/>
          <w:szCs w:val="24"/>
        </w:rPr>
        <w:t>Jurnal Ilmu Sosial Dan Humaniora</w:t>
      </w:r>
      <w:r w:rsidRPr="00C00593">
        <w:rPr>
          <w:rFonts w:ascii="Times New Roman" w:hAnsi="Times New Roman"/>
          <w:noProof/>
          <w:szCs w:val="24"/>
        </w:rPr>
        <w:t xml:space="preserve"> 1, no. 2 (2023): 69–78.</w:t>
      </w:r>
    </w:p>
    <w:p w14:paraId="050BD1C2" w14:textId="080DCB52" w:rsidR="00AD7246" w:rsidRDefault="00C00593" w:rsidP="00B517C7">
      <w:pPr>
        <w:pStyle w:val="BodyText"/>
        <w:ind w:left="567" w:hanging="567"/>
      </w:pPr>
      <w:r>
        <w:fldChar w:fldCharType="end"/>
      </w:r>
    </w:p>
    <w:p w14:paraId="317AB92C" w14:textId="77777777" w:rsidR="00AD7246" w:rsidRDefault="00AD7246" w:rsidP="00B23FE5">
      <w:pPr>
        <w:pStyle w:val="BodyText"/>
        <w:ind w:firstLine="0"/>
      </w:pPr>
    </w:p>
    <w:sectPr w:rsidR="00AD7246" w:rsidSect="00F15426">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6151F" w14:textId="77777777" w:rsidR="00AF074B" w:rsidRDefault="00AF074B" w:rsidP="001D3718">
      <w:pPr>
        <w:spacing w:after="0" w:line="240" w:lineRule="auto"/>
      </w:pPr>
      <w:r>
        <w:separator/>
      </w:r>
    </w:p>
    <w:p w14:paraId="5DD5292A" w14:textId="77777777" w:rsidR="00AF074B" w:rsidRDefault="00AF074B"/>
  </w:endnote>
  <w:endnote w:type="continuationSeparator" w:id="0">
    <w:p w14:paraId="6F8C000E" w14:textId="77777777" w:rsidR="00AF074B" w:rsidRDefault="00AF074B" w:rsidP="001D3718">
      <w:pPr>
        <w:spacing w:after="0" w:line="240" w:lineRule="auto"/>
      </w:pPr>
      <w:r>
        <w:continuationSeparator/>
      </w:r>
    </w:p>
    <w:p w14:paraId="68EB14A4" w14:textId="77777777" w:rsidR="00AF074B" w:rsidRDefault="00AF07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panose1 w:val="00000000000000000000"/>
    <w:charset w:val="00"/>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Ebrima">
    <w:panose1 w:val="02000000000000000000"/>
    <w:charset w:val="00"/>
    <w:family w:val="auto"/>
    <w:pitch w:val="variable"/>
    <w:sig w:usb0="A000005F" w:usb1="02000041" w:usb2="000008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Britannic Bold">
    <w:panose1 w:val="020B0903060703020204"/>
    <w:charset w:val="00"/>
    <w:family w:val="swiss"/>
    <w:pitch w:val="variable"/>
    <w:sig w:usb0="00000003" w:usb1="00000000" w:usb2="00000000" w:usb3="00000000" w:csb0="00000001" w:csb1="00000000"/>
  </w:font>
  <w:font w:name="Adobe Gothic Std B">
    <w:panose1 w:val="00000000000000000000"/>
    <w:charset w:val="80"/>
    <w:family w:val="swiss"/>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9B0BE" w14:textId="1B7CFC3C" w:rsidR="002E007F" w:rsidRDefault="002E007F">
    <w:pPr>
      <w:pStyle w:val="Footer"/>
      <w:jc w:val="right"/>
    </w:pPr>
    <w:proofErr w:type="spellStart"/>
    <w:r w:rsidRPr="00E406A6">
      <w:rPr>
        <w:i/>
        <w:iCs/>
        <w:sz w:val="18"/>
        <w:szCs w:val="18"/>
      </w:rPr>
      <w:t>Syamsudina</w:t>
    </w:r>
    <w:proofErr w:type="spellEnd"/>
    <w:r>
      <w:rPr>
        <w:i/>
        <w:iCs/>
        <w:sz w:val="18"/>
        <w:szCs w:val="18"/>
      </w:rPr>
      <w:t>,</w:t>
    </w:r>
    <w:r>
      <w:rPr>
        <w:i/>
        <w:iCs/>
        <w:sz w:val="18"/>
        <w:szCs w:val="18"/>
        <w:lang w:val="id-ID"/>
      </w:rPr>
      <w:t xml:space="preserve"> </w:t>
    </w:r>
    <w:proofErr w:type="spellStart"/>
    <w:r w:rsidRPr="00E406A6">
      <w:rPr>
        <w:i/>
        <w:iCs/>
        <w:sz w:val="18"/>
        <w:szCs w:val="18"/>
      </w:rPr>
      <w:t>Aman</w:t>
    </w:r>
    <w:proofErr w:type="spellEnd"/>
    <w:r w:rsidRPr="00E406A6">
      <w:rPr>
        <w:i/>
        <w:iCs/>
        <w:sz w:val="18"/>
        <w:szCs w:val="18"/>
      </w:rPr>
      <w:t xml:space="preserve"> </w:t>
    </w:r>
    <w:proofErr w:type="spellStart"/>
    <w:r w:rsidRPr="00E406A6">
      <w:rPr>
        <w:i/>
        <w:iCs/>
        <w:sz w:val="18"/>
        <w:szCs w:val="18"/>
      </w:rPr>
      <w:t>Ma’arijb</w:t>
    </w:r>
    <w:proofErr w:type="spellEnd"/>
    <w:r>
      <w:rPr>
        <w:i/>
        <w:iCs/>
        <w:sz w:val="18"/>
        <w:szCs w:val="18"/>
        <w:lang w:val="id-ID"/>
      </w:rPr>
      <w:t xml:space="preserve">, </w:t>
    </w:r>
    <w:r w:rsidRPr="00EB4DD1">
      <w:rPr>
        <w:i/>
        <w:iCs/>
        <w:sz w:val="18"/>
        <w:szCs w:val="18"/>
      </w:rPr>
      <w:t>et.al (</w:t>
    </w:r>
    <w:r w:rsidRPr="006832ED">
      <w:rPr>
        <w:i/>
        <w:iCs/>
        <w:sz w:val="18"/>
        <w:szCs w:val="18"/>
      </w:rPr>
      <w:t xml:space="preserve">Legal Analysis of the Establishment of Districts </w:t>
    </w:r>
    <w:r>
      <w:rPr>
        <w:i/>
        <w:iCs/>
        <w:sz w:val="18"/>
        <w:szCs w:val="18"/>
        <w:lang w:val="id-ID"/>
      </w:rPr>
      <w:t>............</w:t>
    </w:r>
    <w:r w:rsidRPr="00EB4DD1">
      <w:rPr>
        <w:i/>
        <w:iCs/>
        <w:sz w:val="18"/>
        <w:szCs w:val="18"/>
      </w:rPr>
      <w:t>)</w:t>
    </w:r>
    <w:r>
      <w:t xml:space="preserve"> | </w:t>
    </w:r>
    <w:r>
      <w:fldChar w:fldCharType="begin"/>
    </w:r>
    <w:r>
      <w:instrText xml:space="preserve"> PAGE   \* MERGEFORMAT </w:instrText>
    </w:r>
    <w:r>
      <w:fldChar w:fldCharType="separate"/>
    </w:r>
    <w:r w:rsidR="0062177C">
      <w:rPr>
        <w:noProof/>
      </w:rPr>
      <w:t>10</w:t>
    </w:r>
    <w:r>
      <w:fldChar w:fldCharType="end"/>
    </w:r>
    <w:r>
      <w:t xml:space="preserve"> </w:t>
    </w:r>
  </w:p>
  <w:p w14:paraId="732E5032" w14:textId="77777777" w:rsidR="002E007F" w:rsidRPr="00CB75AA" w:rsidRDefault="002E007F" w:rsidP="00CB75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FB5E0" w14:textId="3DBF6AED" w:rsidR="002E007F" w:rsidRDefault="002E007F">
    <w:pPr>
      <w:pStyle w:val="Footer"/>
      <w:jc w:val="right"/>
    </w:pPr>
    <w:proofErr w:type="spellStart"/>
    <w:r w:rsidRPr="00E406A6">
      <w:rPr>
        <w:i/>
        <w:iCs/>
        <w:sz w:val="18"/>
        <w:szCs w:val="18"/>
      </w:rPr>
      <w:t>Syamsudina</w:t>
    </w:r>
    <w:proofErr w:type="spellEnd"/>
    <w:r>
      <w:rPr>
        <w:i/>
        <w:iCs/>
        <w:sz w:val="18"/>
        <w:szCs w:val="18"/>
      </w:rPr>
      <w:t>,</w:t>
    </w:r>
    <w:r>
      <w:rPr>
        <w:i/>
        <w:iCs/>
        <w:sz w:val="18"/>
        <w:szCs w:val="18"/>
        <w:lang w:val="id-ID"/>
      </w:rPr>
      <w:t xml:space="preserve"> </w:t>
    </w:r>
    <w:proofErr w:type="spellStart"/>
    <w:r w:rsidRPr="00E406A6">
      <w:rPr>
        <w:i/>
        <w:iCs/>
        <w:sz w:val="18"/>
        <w:szCs w:val="18"/>
      </w:rPr>
      <w:t>Aman</w:t>
    </w:r>
    <w:proofErr w:type="spellEnd"/>
    <w:r w:rsidRPr="00E406A6">
      <w:rPr>
        <w:i/>
        <w:iCs/>
        <w:sz w:val="18"/>
        <w:szCs w:val="18"/>
      </w:rPr>
      <w:t xml:space="preserve"> </w:t>
    </w:r>
    <w:proofErr w:type="spellStart"/>
    <w:r w:rsidRPr="00E406A6">
      <w:rPr>
        <w:i/>
        <w:iCs/>
        <w:sz w:val="18"/>
        <w:szCs w:val="18"/>
      </w:rPr>
      <w:t>Ma’arijb</w:t>
    </w:r>
    <w:proofErr w:type="spellEnd"/>
    <w:r>
      <w:rPr>
        <w:i/>
        <w:iCs/>
        <w:sz w:val="18"/>
        <w:szCs w:val="18"/>
        <w:lang w:val="id-ID"/>
      </w:rPr>
      <w:t xml:space="preserve">, </w:t>
    </w:r>
    <w:r w:rsidRPr="00EB4DD1">
      <w:rPr>
        <w:i/>
        <w:iCs/>
        <w:sz w:val="18"/>
        <w:szCs w:val="18"/>
      </w:rPr>
      <w:t>et.al (</w:t>
    </w:r>
    <w:r w:rsidRPr="006832ED">
      <w:rPr>
        <w:i/>
        <w:iCs/>
        <w:sz w:val="18"/>
        <w:szCs w:val="18"/>
      </w:rPr>
      <w:t xml:space="preserve">Legal Analysis of the Establishment of Districts </w:t>
    </w:r>
    <w:r>
      <w:rPr>
        <w:i/>
        <w:iCs/>
        <w:sz w:val="18"/>
        <w:szCs w:val="18"/>
        <w:lang w:val="id-ID"/>
      </w:rPr>
      <w:t>............</w:t>
    </w:r>
    <w:r w:rsidRPr="00EB4DD1">
      <w:rPr>
        <w:i/>
        <w:iCs/>
        <w:sz w:val="18"/>
        <w:szCs w:val="18"/>
      </w:rPr>
      <w:t>)</w:t>
    </w:r>
    <w:r>
      <w:t xml:space="preserve"> | </w:t>
    </w:r>
    <w:r>
      <w:fldChar w:fldCharType="begin"/>
    </w:r>
    <w:r>
      <w:instrText xml:space="preserve"> PAGE   \* MERGEFORMAT </w:instrText>
    </w:r>
    <w:r>
      <w:fldChar w:fldCharType="separate"/>
    </w:r>
    <w:r w:rsidR="0062177C">
      <w:rPr>
        <w:noProof/>
      </w:rPr>
      <w:t>11</w:t>
    </w:r>
    <w:r>
      <w:fldChar w:fldCharType="end"/>
    </w:r>
    <w:r>
      <w:t xml:space="preserve"> </w:t>
    </w:r>
  </w:p>
  <w:p w14:paraId="6BD13FC5" w14:textId="77777777" w:rsidR="002E007F" w:rsidRPr="00CB75AA" w:rsidRDefault="002E007F" w:rsidP="00CB75AA">
    <w:pPr>
      <w:pStyle w:val="Footer"/>
      <w:tabs>
        <w:tab w:val="clear" w:pos="4680"/>
        <w:tab w:val="center" w:pos="43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4FA73" w14:textId="77777777" w:rsidR="002E007F" w:rsidRDefault="002E007F">
    <w:pPr>
      <w:pStyle w:val="Footer"/>
      <w:jc w:val="right"/>
    </w:pPr>
    <w:r w:rsidRPr="00EB4DD1">
      <w:rPr>
        <w:i/>
        <w:iCs/>
        <w:sz w:val="18"/>
        <w:szCs w:val="18"/>
      </w:rPr>
      <w:t>First Author et.al (Title of paper shortly)</w:t>
    </w:r>
    <w:r>
      <w:t xml:space="preserve"> | </w:t>
    </w:r>
    <w:r>
      <w:fldChar w:fldCharType="begin"/>
    </w:r>
    <w:r>
      <w:instrText xml:space="preserve"> PAGE   \* MERGEFORMAT </w:instrText>
    </w:r>
    <w:r>
      <w:fldChar w:fldCharType="separate"/>
    </w:r>
    <w:r w:rsidR="0062177C">
      <w:rPr>
        <w:noProof/>
      </w:rPr>
      <w:t>1</w:t>
    </w:r>
    <w:r>
      <w:fldChar w:fldCharType="end"/>
    </w:r>
    <w:r>
      <w:t xml:space="preserve"> </w:t>
    </w:r>
  </w:p>
  <w:p w14:paraId="7718DAE0" w14:textId="77777777" w:rsidR="002E007F" w:rsidRPr="00CB75AA" w:rsidRDefault="002E007F" w:rsidP="00CB75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BFF03" w14:textId="77777777" w:rsidR="00AF074B" w:rsidRDefault="00AF074B" w:rsidP="001D3718">
      <w:pPr>
        <w:spacing w:after="0" w:line="240" w:lineRule="auto"/>
      </w:pPr>
      <w:r>
        <w:separator/>
      </w:r>
    </w:p>
    <w:p w14:paraId="7AD2D2DA" w14:textId="77777777" w:rsidR="00AF074B" w:rsidRDefault="00AF074B"/>
  </w:footnote>
  <w:footnote w:type="continuationSeparator" w:id="0">
    <w:p w14:paraId="066F2751" w14:textId="77777777" w:rsidR="00AF074B" w:rsidRDefault="00AF074B" w:rsidP="001D3718">
      <w:pPr>
        <w:spacing w:after="0" w:line="240" w:lineRule="auto"/>
      </w:pPr>
      <w:r>
        <w:continuationSeparator/>
      </w:r>
    </w:p>
    <w:p w14:paraId="71440C50" w14:textId="77777777" w:rsidR="00AF074B" w:rsidRDefault="00AF074B"/>
  </w:footnote>
  <w:footnote w:id="1">
    <w:p w14:paraId="3105D7D0" w14:textId="2FF4F9A5" w:rsidR="002E007F" w:rsidRPr="007A6115" w:rsidRDefault="002E007F" w:rsidP="00C00593">
      <w:pPr>
        <w:pStyle w:val="FootnoteText"/>
        <w:spacing w:line="240" w:lineRule="auto"/>
        <w:ind w:firstLine="709"/>
        <w:jc w:val="both"/>
        <w:rPr>
          <w:rFonts w:ascii="Times New Roman" w:hAnsi="Times New Roman"/>
          <w:lang w:val="id-ID"/>
        </w:rPr>
      </w:pPr>
      <w:r w:rsidRPr="007A6115">
        <w:rPr>
          <w:rStyle w:val="FootnoteReference"/>
          <w:rFonts w:ascii="Times New Roman" w:eastAsia="MS Mincho" w:hAnsi="Times New Roman"/>
        </w:rPr>
        <w:footnoteRef/>
      </w:r>
      <w:r w:rsidRPr="007A6115">
        <w:rPr>
          <w:rFonts w:ascii="Times New Roman" w:hAnsi="Times New Roman"/>
        </w:rPr>
        <w:t xml:space="preserve"> </w:t>
      </w:r>
      <w:r w:rsidRPr="007A6115">
        <w:rPr>
          <w:rFonts w:ascii="Times New Roman" w:hAnsi="Times New Roman"/>
        </w:rPr>
        <w:fldChar w:fldCharType="begin" w:fldLock="1"/>
      </w:r>
      <w:r w:rsidR="00C00593">
        <w:rPr>
          <w:rFonts w:ascii="Times New Roman" w:hAnsi="Times New Roman"/>
        </w:rPr>
        <w:instrText>ADDIN CSL_CITATION {"citationItems":[{"id":"ITEM-1","itemData":{"ISSN":"2722-8185","abstract":"… Dalam Pelayanan Publik di Kecamatan Poso Kota Utara Kabupaten Poso. Berdasarkan pembahasan hasil penelitian dapat ditarik kesimpulan bahwa Implementasi kebijakan pasca …","author":[{"dropping-particle":"","family":"Syuaib","given":"Moh Rusli","non-dropping-particle":"","parse-names":false,"suffix":""},{"dropping-particle":"","family":"Hs. Pandipa","given":"Abd. Khalid","non-dropping-particle":"","parse-names":false,"suffix":""}],"container-title":"Jurnal Ilmiah Administratie","id":"ITEM-1","issue":"1","issued":{"date-parts":[["2021"]]},"page":"34-40","title":"Implementasi Kebijakan Pemekaran Kecamatan dalam Pelayanan Publik di Kabupaten Poso","type":"article-journal","volume":"17"},"uris":["http://www.mendeley.com/documents/?uuid=b74da393-9b28-431c-8edd-d044cc59e4b1","http://www.mendeley.com/documents/?uuid=7a8c5a1b-5be6-4027-a873-e2e8272a34b9"]}],"mendeley":{"formattedCitation":"Moh Rusli Syuaib and Abd. Khalid Hs. Pandipa, “Implementasi Kebijakan Pemekaran Kecamatan Dalam Pelayanan Publik Di Kabupaten Poso,” &lt;i&gt;Jurnal Ilmiah Administratie&lt;/i&gt; 17, no. 1 (2021): 34–40.","plainTextFormattedCitation":"Moh Rusli Syuaib and Abd. Khalid Hs. Pandipa, “Implementasi Kebijakan Pemekaran Kecamatan Dalam Pelayanan Publik Di Kabupaten Poso,” Jurnal Ilmiah Administratie 17, no. 1 (2021): 34–40.","previouslyFormattedCitation":"Moh Rusli Syuaib and Abd. Khalid Hs. Pandipa, “Implementasi Kebijakan Pemekaran Kecamatan Dalam Pelayanan Publik Di Kabupaten Poso,” &lt;i&gt;Jurnal Ilmiah Administratie&lt;/i&gt; 17, no. 1 (2021): 34–40."},"properties":{"noteIndex":1},"schema":"https://github.com/citation-style-language/schema/raw/master/csl-citation.json"}</w:instrText>
      </w:r>
      <w:r w:rsidRPr="007A6115">
        <w:rPr>
          <w:rFonts w:ascii="Times New Roman" w:hAnsi="Times New Roman"/>
        </w:rPr>
        <w:fldChar w:fldCharType="separate"/>
      </w:r>
      <w:r w:rsidRPr="007A6115">
        <w:rPr>
          <w:rFonts w:ascii="Times New Roman" w:hAnsi="Times New Roman"/>
          <w:noProof/>
        </w:rPr>
        <w:t xml:space="preserve">Moh Rusli Syuaib and Abd. Khalid Hs. Pandipa, “Implementasi Kebijakan Pemekaran Kecamatan Dalam Pelayanan Publik Di Kabupaten Poso,” </w:t>
      </w:r>
      <w:r w:rsidRPr="007A6115">
        <w:rPr>
          <w:rFonts w:ascii="Times New Roman" w:hAnsi="Times New Roman"/>
          <w:i/>
          <w:noProof/>
        </w:rPr>
        <w:t>Jurnal Ilmiah Administratie</w:t>
      </w:r>
      <w:r w:rsidRPr="007A6115">
        <w:rPr>
          <w:rFonts w:ascii="Times New Roman" w:hAnsi="Times New Roman"/>
          <w:noProof/>
        </w:rPr>
        <w:t xml:space="preserve"> 17, no. 1 (2021): 34–40.</w:t>
      </w:r>
      <w:r w:rsidRPr="007A6115">
        <w:rPr>
          <w:rFonts w:ascii="Times New Roman" w:hAnsi="Times New Roman"/>
        </w:rPr>
        <w:fldChar w:fldCharType="end"/>
      </w:r>
    </w:p>
  </w:footnote>
  <w:footnote w:id="2">
    <w:p w14:paraId="48351E9A" w14:textId="30CE1EB4" w:rsidR="002E007F" w:rsidRPr="007A6115" w:rsidRDefault="002E007F" w:rsidP="00C00593">
      <w:pPr>
        <w:pStyle w:val="FootnoteText"/>
        <w:spacing w:line="240" w:lineRule="auto"/>
        <w:ind w:firstLine="709"/>
        <w:jc w:val="both"/>
        <w:rPr>
          <w:rFonts w:ascii="Times New Roman" w:hAnsi="Times New Roman"/>
          <w:lang w:val="id-ID"/>
        </w:rPr>
      </w:pPr>
      <w:r w:rsidRPr="007A6115">
        <w:rPr>
          <w:rStyle w:val="FootnoteReference"/>
          <w:rFonts w:ascii="Times New Roman" w:eastAsia="MS Mincho" w:hAnsi="Times New Roman"/>
        </w:rPr>
        <w:footnoteRef/>
      </w:r>
      <w:r w:rsidRPr="007A6115">
        <w:rPr>
          <w:rFonts w:ascii="Times New Roman" w:hAnsi="Times New Roman"/>
        </w:rPr>
        <w:t xml:space="preserve"> </w:t>
      </w:r>
      <w:r w:rsidRPr="007A6115">
        <w:rPr>
          <w:rFonts w:ascii="Times New Roman" w:hAnsi="Times New Roman"/>
        </w:rPr>
        <w:fldChar w:fldCharType="begin" w:fldLock="1"/>
      </w:r>
      <w:r w:rsidR="00C00593">
        <w:rPr>
          <w:rFonts w:ascii="Times New Roman" w:hAnsi="Times New Roman"/>
        </w:rPr>
        <w:instrText>ADDIN CSL_CITATION {"citationItems":[{"id":"ITEM-1","itemData":{"ISBN":"9781119130536","ISSN":"1098-6596","PMID":"25246403","abstract":"The purpose of this study was to see the impact of the division of the sub- district on infrastructure development and improving the quality of public services in the District of Danau Kerinci Barat, Kerinci Regency. This study took place at the office of the District of Danau Kerinci Barat, Kerinci Regency. This study uses descriptive qualitative research with sampling insidental technique as a determinant in the selection of research informants. Based on data analysis from the results of the research conducted, it was concluded that the division of the sub-district was still not maximal in providing a good impact in accelerating infrastructure development in the Danau Kerinci Barat sub-district, this can be seen from the lack of physical developments that existed after the expansion, after the expansion. no infrastructure development has been implemented or realized. In terms of improving public services after the expansion of the improvement of public services is the convenience felt by the community to get good service. The division of sub-districts has had a fairly good impact in improving the quality of public services in Danau Kerinci Barat District, but there are still several dimensions of the quality of public services that have not been implemented properly. Keywords: Impact, Expansion, Infrastructur Development, Quality Services","author":[{"dropping-particle":"","family":"Elsa Yolanda","given":"","non-dropping-particle":"","parse-names":false,"suffix":""}],"id":"ITEM-1","issue":"2","issued":{"date-parts":[["2023"]]},"page":"198","title":"Dampak Pemekaran Wilayah Kecamatan Terhadap Pembangunan Infrastruktur Dan Peningkatan Kualitas Pelayanan Publik Di Kecamatan Danau Kerinci Barat Kabupaten Kerinci","type":"article-journal","volume":"5"},"uris":["http://www.mendeley.com/documents/?uuid=4aaea10d-dd23-4878-b215-6bf7090ffb6b","http://www.mendeley.com/documents/?uuid=faa1d857-87f6-40ad-912b-ca97deb913ec"]}],"mendeley":{"formattedCitation":"Elsa Yolanda, “Dampak Pemekaran Wilayah Kecamatan Terhadap Pembangunan Infrastruktur Dan Peningkatan Kualitas Pelayanan Publik Di Kecamatan Danau Kerinci Barat Kabupaten Kerinci” 5, no. 2 (2023): 198.","plainTextFormattedCitation":"Elsa Yolanda, “Dampak Pemekaran Wilayah Kecamatan Terhadap Pembangunan Infrastruktur Dan Peningkatan Kualitas Pelayanan Publik Di Kecamatan Danau Kerinci Barat Kabupaten Kerinci” 5, no. 2 (2023): 198.","previouslyFormattedCitation":"Elsa Yolanda, “Dampak Pemekaran Wilayah Kecamatan Terhadap Pembangunan Infrastruktur Dan Peningkatan Kualitas Pelayanan Publik Di Kecamatan Danau Kerinci Barat Kabupaten Kerinci” 5, no. 2 (2023): 198."},"properties":{"noteIndex":2},"schema":"https://github.com/citation-style-language/schema/raw/master/csl-citation.json"}</w:instrText>
      </w:r>
      <w:r w:rsidRPr="007A6115">
        <w:rPr>
          <w:rFonts w:ascii="Times New Roman" w:hAnsi="Times New Roman"/>
        </w:rPr>
        <w:fldChar w:fldCharType="separate"/>
      </w:r>
      <w:r w:rsidRPr="007A6115">
        <w:rPr>
          <w:rFonts w:ascii="Times New Roman" w:hAnsi="Times New Roman"/>
          <w:noProof/>
        </w:rPr>
        <w:t>Elsa Yolanda, “Dampak Pemekaran Wilayah Kecamatan Terhadap Pembangunan Infrastruktur Dan Peningkatan Kualitas Pelayanan Publik Di Kecamatan Danau Kerinci Barat Kabupaten Kerinci” 5, no. 2 (2023): 198.</w:t>
      </w:r>
      <w:r w:rsidRPr="007A6115">
        <w:rPr>
          <w:rFonts w:ascii="Times New Roman" w:hAnsi="Times New Roman"/>
        </w:rPr>
        <w:fldChar w:fldCharType="end"/>
      </w:r>
    </w:p>
  </w:footnote>
  <w:footnote w:id="3">
    <w:p w14:paraId="38E3E432" w14:textId="3613721F" w:rsidR="002E007F" w:rsidRPr="007A6115" w:rsidRDefault="002E007F" w:rsidP="00C00593">
      <w:pPr>
        <w:pStyle w:val="FootnoteText"/>
        <w:spacing w:line="240" w:lineRule="auto"/>
        <w:ind w:firstLine="709"/>
        <w:jc w:val="both"/>
        <w:rPr>
          <w:rFonts w:ascii="Times New Roman" w:hAnsi="Times New Roman"/>
          <w:lang w:val="id-ID"/>
        </w:rPr>
      </w:pPr>
      <w:r w:rsidRPr="007A6115">
        <w:rPr>
          <w:rStyle w:val="FootnoteReference"/>
          <w:rFonts w:ascii="Times New Roman" w:eastAsia="MS Mincho" w:hAnsi="Times New Roman"/>
        </w:rPr>
        <w:footnoteRef/>
      </w:r>
      <w:r w:rsidRPr="007A6115">
        <w:rPr>
          <w:rFonts w:ascii="Times New Roman" w:hAnsi="Times New Roman"/>
        </w:rPr>
        <w:t xml:space="preserve"> </w:t>
      </w:r>
      <w:r w:rsidRPr="007A6115">
        <w:rPr>
          <w:rFonts w:ascii="Times New Roman" w:hAnsi="Times New Roman"/>
          <w:noProof/>
        </w:rPr>
        <w:fldChar w:fldCharType="begin" w:fldLock="1"/>
      </w:r>
      <w:r w:rsidR="00C00593">
        <w:rPr>
          <w:rFonts w:ascii="Times New Roman" w:hAnsi="Times New Roman"/>
          <w:noProof/>
        </w:rPr>
        <w:instrText>ADDIN CSL_CITATION {"citationItems":[{"id":"ITEM-1","itemData":{"DOI":"10.52447/ijpa.v9i1.6894","abstract":"… Dengan demikian pemekaran wilayah diharapkan dapat memacu perkembangan sosial, ekonomi, peningkatan kualitas demokrasi, mengurangi kesenjangan dan menjaga kelestarian …","author":[{"dropping-particle":"","family":"Aguswan","given":"","non-dropping-particle":"","parse-names":false,"suffix":""},{"dropping-particle":"","family":"Mirad","given":"2Abdul","non-dropping-particle":"","parse-names":false,"suffix":""},{"dropping-particle":"","family":"3Wasiah Sufi, 4Dwi Herlinda","given":"5Elly Nielwaty","non-dropping-particle":"","parse-names":false,"suffix":""},{"dropping-particle":"","family":"1, 2, 3, 4, 5Fakultas Ilmu Administrasi","given":"Universitas Lancang Kuning","non-dropping-particle":"","parse-names":false,"suffix":""}],"container-title":"The Indonesian Journal of Public Administration (IJPA)","id":"ITEM-1","issue":"1","issued":{"date-parts":[["2023"]]},"page":"56-67","title":"Perwujudan Good governance Pasca Pemekaran Kecamatan Binawidya Kota Pekanbaru","type":"article-journal","volume":"9"},"uris":["http://www.mendeley.com/documents/?uuid=94279dd9-d2fd-46af-9765-6fddcc0ee806","http://www.mendeley.com/documents/?uuid=75a06745-5f97-46f2-8af1-756cc72a66db"]}],"mendeley":{"formattedCitation":"Aguswan et al., “Perwujudan Good Governance Pasca Pemekaran Kecamatan Binawidya Kota Pekanbaru,” &lt;i&gt;The Indonesian Journal of Public Administration (IJPA)&lt;/i&gt; 9, no. 1 (2023): 56–67, https://doi.org/10.52447/ijpa.v9i1.6894.","plainTextFormattedCitation":"Aguswan et al., “Perwujudan Good Governance Pasca Pemekaran Kecamatan Binawidya Kota Pekanbaru,” The Indonesian Journal of Public Administration (IJPA) 9, no. 1 (2023): 56–67, https://doi.org/10.52447/ijpa.v9i1.6894.","previouslyFormattedCitation":"Aguswan et al., “Perwujudan Good Governance Pasca Pemekaran Kecamatan Binawidya Kota Pekanbaru,” &lt;i&gt;The Indonesian Journal of Public Administration (IJPA)&lt;/i&gt; 9, no. 1 (2023): 56–67."},"properties":{"noteIndex":3},"schema":"https://github.com/citation-style-language/schema/raw/master/csl-citation.json"}</w:instrText>
      </w:r>
      <w:r w:rsidRPr="007A6115">
        <w:rPr>
          <w:rFonts w:ascii="Times New Roman" w:hAnsi="Times New Roman"/>
          <w:noProof/>
        </w:rPr>
        <w:fldChar w:fldCharType="separate"/>
      </w:r>
      <w:r w:rsidR="00C00593" w:rsidRPr="00C00593">
        <w:rPr>
          <w:rFonts w:ascii="Times New Roman" w:hAnsi="Times New Roman"/>
          <w:noProof/>
        </w:rPr>
        <w:t xml:space="preserve">Aguswan et al., “Perwujudan Good Governance Pasca Pemekaran Kecamatan Binawidya Kota Pekanbaru,” </w:t>
      </w:r>
      <w:r w:rsidR="00C00593" w:rsidRPr="00C00593">
        <w:rPr>
          <w:rFonts w:ascii="Times New Roman" w:hAnsi="Times New Roman"/>
          <w:i/>
          <w:noProof/>
        </w:rPr>
        <w:t>The Indonesian Journal of Public Administration (IJPA)</w:t>
      </w:r>
      <w:r w:rsidR="00C00593" w:rsidRPr="00C00593">
        <w:rPr>
          <w:rFonts w:ascii="Times New Roman" w:hAnsi="Times New Roman"/>
          <w:noProof/>
        </w:rPr>
        <w:t xml:space="preserve"> 9, no. 1 (2023): 56–67, https://doi.org/10.52447/ijpa.v9i1.6894.</w:t>
      </w:r>
      <w:r w:rsidRPr="007A6115">
        <w:rPr>
          <w:rFonts w:ascii="Times New Roman" w:hAnsi="Times New Roman"/>
        </w:rPr>
        <w:fldChar w:fldCharType="end"/>
      </w:r>
    </w:p>
  </w:footnote>
  <w:footnote w:id="4">
    <w:p w14:paraId="4E5A2530" w14:textId="4DD067AD" w:rsidR="002E007F" w:rsidRPr="002E5395" w:rsidRDefault="002E007F" w:rsidP="00C00593">
      <w:pPr>
        <w:pStyle w:val="FootnoteText"/>
        <w:spacing w:line="240" w:lineRule="auto"/>
        <w:ind w:firstLine="709"/>
        <w:jc w:val="both"/>
        <w:rPr>
          <w:rFonts w:ascii="Times New Roman" w:hAnsi="Times New Roman"/>
          <w:lang w:val="id-ID"/>
        </w:rPr>
      </w:pPr>
      <w:r w:rsidRPr="002E5395">
        <w:rPr>
          <w:rStyle w:val="FootnoteReference"/>
          <w:rFonts w:ascii="Times New Roman" w:eastAsia="MS Mincho" w:hAnsi="Times New Roman"/>
        </w:rPr>
        <w:footnoteRef/>
      </w:r>
      <w:r w:rsidRPr="002E5395">
        <w:rPr>
          <w:rFonts w:ascii="Times New Roman" w:hAnsi="Times New Roman"/>
        </w:rPr>
        <w:t xml:space="preserve"> </w:t>
      </w:r>
      <w:r w:rsidRPr="002E5395">
        <w:rPr>
          <w:rFonts w:ascii="Times New Roman" w:hAnsi="Times New Roman"/>
        </w:rPr>
        <w:fldChar w:fldCharType="begin" w:fldLock="1"/>
      </w:r>
      <w:r w:rsidR="00C00593">
        <w:rPr>
          <w:rFonts w:ascii="Times New Roman" w:hAnsi="Times New Roman"/>
        </w:rPr>
        <w:instrText>ADDIN CSL_CITATION {"citationItems":[{"id":"ITEM-1","itemData":{"DOI":"10.33701/jt.v8i2.619","ISSN":"2085-5192","abstract":"This research has the objective to analyze and provide policy recommendations with regard to the arrangement of sub-districts in West Sumba. This study used tailor made method which directs a comprehensive study results become a major consideration for policy makers in the formulation of policy. In addition, to make the analysis more relevant to the needs of West Sumba district in settlement and regional development, the methods of tailor made method combined with the method of FGD (expert meetings) with the bureaucracy involved, and Techniques Delphi, which is one of the techniques stakeholder involvement in decision decision/policy by collecting opinions through questionnaires/checklists. The data were then analyzed using a qualitative approach to obtain in-depth and comprehensive understanding. The results showed that of the six sub districts that were analyzed, sub tanarighu a district that most deserves to bloomed. in addition to the recommendation of the researchers was Arrangement border enclave, Improved system of planning, the use of ICT in governance systems, and organizational management districts. Keywords: sub-districts, structuring the sub-district.","author":[{"dropping-particle":"","family":"Ishak","given":"Deding","non-dropping-particle":"","parse-names":false,"suffix":""}],"container-title":"TRANSFORMASI: Jurnal Manajemen Pemerintahan","id":"ITEM-1","issued":{"date-parts":[["2019"]]},"page":"183-198","title":"Analisis Penataan Kecamatan Di Kabupaten Sumba Barat Provinsi Nusa Tenggara Timur","type":"article-journal"},"uris":["http://www.mendeley.com/documents/?uuid=8161e51f-a2f4-4ff7-8624-a2acf1e9cc87","http://www.mendeley.com/documents/?uuid=782691fd-bb6a-4698-8453-9bfbccb0f9c4"]}],"mendeley":{"formattedCitation":"Deding Ishak, “Analisis Penataan Kecamatan Di Kabupaten Sumba Barat Provinsi Nusa Tenggara Timur,” &lt;i&gt;TRANSFORMASI: Jurnal Manajemen Pemerintahan&lt;/i&gt;, 2019, 183–98, https://doi.org/10.33701/jt.v8i2.619.","plainTextFormattedCitation":"Deding Ishak, “Analisis Penataan Kecamatan Di Kabupaten Sumba Barat Provinsi Nusa Tenggara Timur,” TRANSFORMASI: Jurnal Manajemen Pemerintahan, 2019, 183–98, https://doi.org/10.33701/jt.v8i2.619.","previouslyFormattedCitation":"Deding Ishak, “Analisis Penataan Kecamatan Di Kabupaten Sumba Barat Provinsi Nusa Tenggara Timur,” &lt;i&gt;TRANSFORMASI: Jurnal Manajemen Pemerintahan&lt;/i&gt; (2019): 183–198."},"properties":{"noteIndex":4},"schema":"https://github.com/citation-style-language/schema/raw/master/csl-citation.json"}</w:instrText>
      </w:r>
      <w:r w:rsidRPr="002E5395">
        <w:rPr>
          <w:rFonts w:ascii="Times New Roman" w:hAnsi="Times New Roman"/>
        </w:rPr>
        <w:fldChar w:fldCharType="separate"/>
      </w:r>
      <w:r w:rsidR="00C00593" w:rsidRPr="00C00593">
        <w:rPr>
          <w:rFonts w:ascii="Times New Roman" w:hAnsi="Times New Roman"/>
          <w:noProof/>
        </w:rPr>
        <w:t xml:space="preserve">Deding Ishak, “Analisis Penataan Kecamatan Di Kabupaten Sumba Barat Provinsi Nusa Tenggara Timur,” </w:t>
      </w:r>
      <w:r w:rsidR="00C00593" w:rsidRPr="00C00593">
        <w:rPr>
          <w:rFonts w:ascii="Times New Roman" w:hAnsi="Times New Roman"/>
          <w:i/>
          <w:noProof/>
        </w:rPr>
        <w:t>TRANSFORMASI: Jurnal Manajemen Pemerintahan</w:t>
      </w:r>
      <w:r w:rsidR="00C00593" w:rsidRPr="00C00593">
        <w:rPr>
          <w:rFonts w:ascii="Times New Roman" w:hAnsi="Times New Roman"/>
          <w:noProof/>
        </w:rPr>
        <w:t>, 2019, 183–98, https://doi.org/10.33701/jt.v8i2.619.</w:t>
      </w:r>
      <w:r w:rsidRPr="002E5395">
        <w:rPr>
          <w:rFonts w:ascii="Times New Roman" w:hAnsi="Times New Roman"/>
        </w:rPr>
        <w:fldChar w:fldCharType="end"/>
      </w:r>
    </w:p>
  </w:footnote>
  <w:footnote w:id="5">
    <w:p w14:paraId="735173A8" w14:textId="5737E351" w:rsidR="002E007F" w:rsidRPr="002E5395" w:rsidRDefault="002E007F" w:rsidP="00B517C7">
      <w:pPr>
        <w:pStyle w:val="FootnoteText"/>
        <w:spacing w:line="240" w:lineRule="auto"/>
        <w:ind w:firstLine="709"/>
        <w:jc w:val="both"/>
        <w:rPr>
          <w:rFonts w:ascii="Times New Roman" w:hAnsi="Times New Roman"/>
          <w:lang w:val="id-ID"/>
        </w:rPr>
      </w:pPr>
      <w:r w:rsidRPr="002E5395">
        <w:rPr>
          <w:rStyle w:val="FootnoteReference"/>
          <w:rFonts w:ascii="Times New Roman" w:eastAsia="MS Mincho" w:hAnsi="Times New Roman"/>
        </w:rPr>
        <w:footnoteRef/>
      </w:r>
      <w:r w:rsidRPr="002E5395">
        <w:rPr>
          <w:rFonts w:ascii="Times New Roman" w:hAnsi="Times New Roman"/>
        </w:rPr>
        <w:t xml:space="preserve"> </w:t>
      </w:r>
      <w:r w:rsidRPr="002E5395">
        <w:rPr>
          <w:rFonts w:ascii="Times New Roman" w:hAnsi="Times New Roman"/>
        </w:rPr>
        <w:fldChar w:fldCharType="begin" w:fldLock="1"/>
      </w:r>
      <w:r w:rsidR="00C00593">
        <w:rPr>
          <w:rFonts w:ascii="Times New Roman" w:hAnsi="Times New Roman"/>
        </w:rPr>
        <w:instrText>ADDIN CSL_CITATION {"citationItems":[{"id":"ITEM-1","itemData":{"abstract":"trabajo de investigacion","author":[{"dropping-particle":"","family":"KEPENDUDUKAN","given":"PEMEKARAN KECAMATAN BINA WIDYA KOTA PEKANBARU DALAM PENINGKATAN PELAYANAN","non-dropping-particle":"","parse-names":false,"suffix":""},{"dropping-particle":"","family":"SKRIPSI","given":"","non-dropping-particle":"","parse-names":false,"suffix":""}],"id":"ITEM-1","issued":{"date-parts":[["2023"]]},"page":"1-14","title":"PEMEKARAN KECAMATAN BINA WIDYA KOTA PEKANBARU DALAM PENINGKATAN PELAYANAN KEPENDUDUKAN SKRIPSI","type":"article-journal","volume":"5"},"uris":["http://www.mendeley.com/documents/?uuid=214acb2d-9bca-4201-a3c1-28922feaef4a","http://www.mendeley.com/documents/?uuid=404e7b9e-6568-4e0f-ad94-2a605f7c3243"]}],"mendeley":{"formattedCitation":"PEMEKARAN KECAMATAN BINA WIDYA KOTA PEKANBARU DALAM PENINGKATAN PELAYANAN KEPENDUDUKAN and SKRIPSI, “PEMEKARAN KECAMATAN BINA WIDYA KOTA PEKANBARU DALAM PENINGKATAN PELAYANAN KEPENDUDUKAN SKRIPSI” 5 (2023): 1–14.","manualFormatting":"Pemekaran Kecamatan Bina Widya Kota Pekanbaru Dalam Peningkatan Pelayanan Kependudukan And Skripsi, “Pemekaran Kecamatan Bina Widya Kota Pekanbaru Dalam Peningkatan Pelayanan Kependudukan Skripsi” 5 (2023): 1–14.","plainTextFormattedCitation":"PEMEKARAN KECAMATAN BINA WIDYA KOTA PEKANBARU DALAM PENINGKATAN PELAYANAN KEPENDUDUKAN and SKRIPSI, “PEMEKARAN KECAMATAN BINA WIDYA KOTA PEKANBARU DALAM PENINGKATAN PELAYANAN KEPENDUDUKAN SKRIPSI” 5 (2023): 1–14.","previouslyFormattedCitation":"PEMEKARAN KECAMATAN BINA WIDYA KOTA PEKANBARU DALAM PENINGKATAN PELAYANAN KEPENDUDUKAN and SKRIPSI, “PEMEKARAN KECAMATAN BINA WIDYA KOTA PEKANBARU DALAM PENINGKATAN PELAYANAN KEPENDUDUKAN SKRIPSI” 5 (2023): 1–14."},"properties":{"noteIndex":5},"schema":"https://github.com/citation-style-language/schema/raw/master/csl-citation.json"}</w:instrText>
      </w:r>
      <w:r w:rsidRPr="002E5395">
        <w:rPr>
          <w:rFonts w:ascii="Times New Roman" w:hAnsi="Times New Roman"/>
        </w:rPr>
        <w:fldChar w:fldCharType="separate"/>
      </w:r>
      <w:r w:rsidRPr="002E5395">
        <w:rPr>
          <w:rFonts w:ascii="Times New Roman" w:hAnsi="Times New Roman"/>
          <w:noProof/>
        </w:rPr>
        <w:t>Pemekaran Kecamatan Bina Widya Kota Pekanbaru Dalam Peningkatan Pelayanan Kependudukan And Skripsi, “Pemekaran Kecamatan Bina Widya Kota Pekanbaru Dalam Peningkatan Pelayanan Kependudukan Skripsi” 5 (2023): 1–14.</w:t>
      </w:r>
      <w:r w:rsidRPr="002E5395">
        <w:rPr>
          <w:rFonts w:ascii="Times New Roman" w:hAnsi="Times New Roman"/>
        </w:rPr>
        <w:fldChar w:fldCharType="end"/>
      </w:r>
    </w:p>
  </w:footnote>
  <w:footnote w:id="6">
    <w:p w14:paraId="6658BCE0" w14:textId="69A478CA" w:rsidR="002E007F" w:rsidRPr="001860DB" w:rsidRDefault="002E007F" w:rsidP="00B517C7">
      <w:pPr>
        <w:pStyle w:val="FootnoteText"/>
        <w:spacing w:line="240" w:lineRule="auto"/>
        <w:ind w:firstLine="709"/>
        <w:jc w:val="both"/>
        <w:rPr>
          <w:rFonts w:ascii="Times New Roman" w:hAnsi="Times New Roman"/>
          <w:lang w:val="id-ID"/>
        </w:rPr>
      </w:pPr>
      <w:r w:rsidRPr="001860DB">
        <w:rPr>
          <w:rStyle w:val="FootnoteReference"/>
          <w:rFonts w:ascii="Times New Roman" w:eastAsia="MS Mincho" w:hAnsi="Times New Roman"/>
        </w:rPr>
        <w:footnoteRef/>
      </w:r>
      <w:r w:rsidRPr="001860DB">
        <w:rPr>
          <w:rFonts w:ascii="Times New Roman" w:hAnsi="Times New Roman"/>
        </w:rPr>
        <w:t xml:space="preserve"> </w:t>
      </w:r>
      <w:r w:rsidRPr="001860DB">
        <w:rPr>
          <w:rFonts w:ascii="Times New Roman" w:hAnsi="Times New Roman"/>
        </w:rPr>
        <w:fldChar w:fldCharType="begin" w:fldLock="1"/>
      </w:r>
      <w:r w:rsidR="00C00593">
        <w:rPr>
          <w:rFonts w:ascii="Times New Roman" w:hAnsi="Times New Roman"/>
        </w:rPr>
        <w:instrText>ADDIN CSL_CITATION {"citationItems":[{"id":"ITEM-1","itemData":{"abstract":"… pemekaran wilayah di Kota Pekanbaru pada tahun 2022: Tabel 2 Daftar Pemekaran Wilayah … Seluruh masyarakat yang bertempat tinggal di wilayah pemekaran wajib mengubah Data …","author":[{"dropping-particle":"","family":"Sari","given":"Riowa Melina","non-dropping-particle":"","parse-names":false,"suffix":""},{"dropping-particle":"","family":"Mashur","given":"Dadang","non-dropping-particle":"","parse-names":false,"suffix":""}],"container-title":"Jurnal Multilingual","id":"ITEM-1","issue":"3","issued":{"date-parts":[["2023"]]},"page":"330-349","title":"Strategi Percepatan Pergantian Administrasi\nKependudukan Pasca Pemekaran Kecamatan Di\nKota Pekanbaru","type":"article-journal","volume":"3"},"uris":["http://www.mendeley.com/documents/?uuid=62fede30-f9a6-407e-8211-b97caaaab5ed","http://www.mendeley.com/documents/?uuid=6ce855cf-68f7-4db3-aa7c-34754a67394c"]}],"mendeley":{"formattedCitation":"Riowa Melina Sari and Dadang Mashur, “Strategi Percepatan Pergantian Administrasi Pasca Pemekaran Kecamatan Di Pekanbaru,” &lt;i&gt;Jurnal Multilingual&lt;/i&gt; 3, no. 3 (2023): 330–49.","plainTextFormattedCitation":"Riowa Melina Sari and Dadang Mashur, “Strategi Percepatan Pergantian Administrasi Pasca Pemekaran Kecamatan Di Pekanbaru,” Jurnal Multilingual 3, no. 3 (2023): 330–49.","previouslyFormattedCitation":"Riowa Melina Sari and Dadang Mashur, “Strategi Percepatan Pergantian Administrasi Pasca Pemekaran Kecamatan Di Pekanbaru,” &lt;i&gt;Jurnal Multilingual&lt;/i&gt; 3, no. 3 (2023): 330–349."},"properties":{"noteIndex":6},"schema":"https://github.com/citation-style-language/schema/raw/master/csl-citation.json"}</w:instrText>
      </w:r>
      <w:r w:rsidRPr="001860DB">
        <w:rPr>
          <w:rFonts w:ascii="Times New Roman" w:hAnsi="Times New Roman"/>
        </w:rPr>
        <w:fldChar w:fldCharType="separate"/>
      </w:r>
      <w:r w:rsidR="00C00593" w:rsidRPr="00C00593">
        <w:rPr>
          <w:rFonts w:ascii="Times New Roman" w:hAnsi="Times New Roman"/>
          <w:noProof/>
        </w:rPr>
        <w:t xml:space="preserve">Riowa Melina Sari and Dadang Mashur, “Strategi Percepatan Pergantian Administrasi Pasca Pemekaran Kecamatan Di Pekanbaru,” </w:t>
      </w:r>
      <w:r w:rsidR="00C00593" w:rsidRPr="00C00593">
        <w:rPr>
          <w:rFonts w:ascii="Times New Roman" w:hAnsi="Times New Roman"/>
          <w:i/>
          <w:noProof/>
        </w:rPr>
        <w:t>Jurnal Multilingual</w:t>
      </w:r>
      <w:r w:rsidR="00C00593" w:rsidRPr="00C00593">
        <w:rPr>
          <w:rFonts w:ascii="Times New Roman" w:hAnsi="Times New Roman"/>
          <w:noProof/>
        </w:rPr>
        <w:t xml:space="preserve"> 3, no. 3 (2023): 330–49.</w:t>
      </w:r>
      <w:r w:rsidRPr="001860DB">
        <w:rPr>
          <w:rFonts w:ascii="Times New Roman" w:hAnsi="Times New Roman"/>
        </w:rPr>
        <w:fldChar w:fldCharType="end"/>
      </w:r>
    </w:p>
  </w:footnote>
  <w:footnote w:id="7">
    <w:p w14:paraId="05DEC997" w14:textId="61B8E8B4" w:rsidR="002E007F" w:rsidRPr="000E676E" w:rsidRDefault="002E007F" w:rsidP="00B517C7">
      <w:pPr>
        <w:pStyle w:val="FootnoteText"/>
        <w:spacing w:line="240" w:lineRule="auto"/>
        <w:ind w:firstLine="709"/>
        <w:jc w:val="both"/>
        <w:rPr>
          <w:rFonts w:ascii="Times New Roman" w:hAnsi="Times New Roman"/>
          <w:lang w:val="id-ID"/>
        </w:rPr>
      </w:pPr>
      <w:r w:rsidRPr="000E676E">
        <w:rPr>
          <w:rStyle w:val="FootnoteReference"/>
          <w:rFonts w:ascii="Times New Roman" w:eastAsia="MS Mincho" w:hAnsi="Times New Roman"/>
        </w:rPr>
        <w:footnoteRef/>
      </w:r>
      <w:r w:rsidRPr="000E676E">
        <w:rPr>
          <w:rFonts w:ascii="Times New Roman" w:hAnsi="Times New Roman"/>
        </w:rPr>
        <w:t xml:space="preserve"> </w:t>
      </w:r>
      <w:r w:rsidRPr="000E676E">
        <w:rPr>
          <w:rFonts w:ascii="Times New Roman" w:hAnsi="Times New Roman"/>
        </w:rPr>
        <w:fldChar w:fldCharType="begin" w:fldLock="1"/>
      </w:r>
      <w:r w:rsidR="00C00593">
        <w:rPr>
          <w:rFonts w:ascii="Times New Roman" w:hAnsi="Times New Roman"/>
        </w:rPr>
        <w:instrText>ADDIN CSL_CITATION {"citationItems":[{"id":"ITEM-1","itemData":{"DOI":"10.36859/jap.v3i2.186","ISSN":"2614-8692","abstract":"Pemekaran daerah Provinsi walaupun masih dalam moratorium pemerintah pusat, tetap menjadi perhatian bagi elite-elite politik di tingkat lokal. Alasan adanya kesenjangan ekonomi antara pusat pemerintahan Provinsi dengan daerah-daerah lain, kerap menjadi isu yang digunakan oleh elite politik lokal dalam mengupayakan pemekaran daerah Provinsi. Penelitian ini bertujuan untuk mengetahui penggunaan isu penguasaan sumber daya ekonomi yang digunakan oleh elite politik lokal dalam mengusulkan pemekaran daerah. Penelitian ini menggunakan pendekatan kualitatif dengan metode studi kasus, lokasi penelitian yaitu di kawasan Cirebon Raya yang meliputi Kota Cirebon, Kabupaten Cirebon, Kabupaten Indramayu, Kabupaten Kuningan dan Kabupaten Majalengka, teknik penelitian menggunakan wawancara, observasi dan dokumentasi dengan analisis data menggunakan reduksi, penyajian dan penarikan kesimpulan. Hasil menunjukkan bahwa isu penguasaan sumber daya ekonomi dalam upaya pemekaran Provinsi Cirebon mengalami dinamika antar elite antara yang menyetujui dan menolak usulan pemekaran Provinsi Cirebon atas dasar isu penguasaan sumber daya ekonomi untuk kesejahteraan masyarakat, sehingga selama tahun 2009-2019 Provinsi Cirebon belum dapat direalisasikan.","author":[{"dropping-particle":"","family":"Ramdhani","given":"Hilal","non-dropping-particle":"","parse-names":false,"suffix":""}],"container-title":"Jurnal Academia Praja","id":"ITEM-1","issue":"2","issued":{"date-parts":[["2020"]]},"page":"182-203","title":"Dinamika Elite Politik Lokal Mengenai Isu Penguasaan Sumber Daya Ekonomi Dalam Usulan Pemekaran Daerah","type":"article-journal","volume":"3"},"uris":["http://www.mendeley.com/documents/?uuid=5bba180f-77b6-4674-804a-17c017be5e76","http://www.mendeley.com/documents/?uuid=d8948185-65f5-483c-8fb3-46616d0c5255"]}],"mendeley":{"formattedCitation":"Hilal Ramdhani, “Dinamika Elite Politik Lokal Mengenai Isu Penguasaan Sumber Daya Ekonomi Dalam Usulan Pemekaran Daerah,” &lt;i&gt;Jurnal Academia Praja&lt;/i&gt; 3, no. 2 (2020): 182–203, https://doi.org/10.36859/jap.v3i2.186.","plainTextFormattedCitation":"Hilal Ramdhani, “Dinamika Elite Politik Lokal Mengenai Isu Penguasaan Sumber Daya Ekonomi Dalam Usulan Pemekaran Daerah,” Jurnal Academia Praja 3, no. 2 (2020): 182–203, https://doi.org/10.36859/jap.v3i2.186.","previouslyFormattedCitation":"Hilal Ramdhani, “Dinamika Elite Politik Lokal Mengenai Isu Penguasaan Sumber Daya Ekonomi Dalam Usulan Pemekaran Daerah,” &lt;i&gt;Jurnal Academia Praja&lt;/i&gt; 3, no. 2 (2020): 182–203."},"properties":{"noteIndex":7},"schema":"https://github.com/citation-style-language/schema/raw/master/csl-citation.json"}</w:instrText>
      </w:r>
      <w:r w:rsidRPr="000E676E">
        <w:rPr>
          <w:rFonts w:ascii="Times New Roman" w:hAnsi="Times New Roman"/>
        </w:rPr>
        <w:fldChar w:fldCharType="separate"/>
      </w:r>
      <w:r w:rsidR="00C00593" w:rsidRPr="00C00593">
        <w:rPr>
          <w:rFonts w:ascii="Times New Roman" w:hAnsi="Times New Roman"/>
          <w:noProof/>
        </w:rPr>
        <w:t xml:space="preserve">Hilal Ramdhani, “Dinamika Elite Politik Lokal Mengenai Isu Penguasaan Sumber Daya Ekonomi Dalam Usulan Pemekaran Daerah,” </w:t>
      </w:r>
      <w:r w:rsidR="00C00593" w:rsidRPr="00C00593">
        <w:rPr>
          <w:rFonts w:ascii="Times New Roman" w:hAnsi="Times New Roman"/>
          <w:i/>
          <w:noProof/>
        </w:rPr>
        <w:t>Jurnal Academia Praja</w:t>
      </w:r>
      <w:r w:rsidR="00C00593" w:rsidRPr="00C00593">
        <w:rPr>
          <w:rFonts w:ascii="Times New Roman" w:hAnsi="Times New Roman"/>
          <w:noProof/>
        </w:rPr>
        <w:t xml:space="preserve"> 3, no. 2 (2020): 182–203, https://doi.org/10.36859/jap.v3i2.186.</w:t>
      </w:r>
      <w:r w:rsidRPr="000E676E">
        <w:rPr>
          <w:rFonts w:ascii="Times New Roman" w:hAnsi="Times New Roman"/>
        </w:rPr>
        <w:fldChar w:fldCharType="end"/>
      </w:r>
    </w:p>
  </w:footnote>
  <w:footnote w:id="8">
    <w:p w14:paraId="6CECF85D" w14:textId="5EEB6E69" w:rsidR="002E007F" w:rsidRPr="00343C8C" w:rsidRDefault="002E007F" w:rsidP="00B517C7">
      <w:pPr>
        <w:pStyle w:val="FootnoteText"/>
        <w:spacing w:line="240" w:lineRule="auto"/>
        <w:ind w:firstLine="709"/>
        <w:jc w:val="both"/>
        <w:rPr>
          <w:rFonts w:ascii="Times New Roman" w:hAnsi="Times New Roman"/>
          <w:lang w:val="id-ID"/>
        </w:rPr>
      </w:pPr>
      <w:r w:rsidRPr="00343C8C">
        <w:rPr>
          <w:rStyle w:val="FootnoteReference"/>
          <w:rFonts w:ascii="Times New Roman" w:eastAsia="MS Mincho" w:hAnsi="Times New Roman"/>
        </w:rPr>
        <w:footnoteRef/>
      </w:r>
      <w:r w:rsidRPr="00343C8C">
        <w:rPr>
          <w:rFonts w:ascii="Times New Roman" w:hAnsi="Times New Roman"/>
        </w:rPr>
        <w:t xml:space="preserve"> </w:t>
      </w:r>
      <w:r w:rsidRPr="00343C8C">
        <w:rPr>
          <w:rFonts w:ascii="Times New Roman" w:hAnsi="Times New Roman"/>
        </w:rPr>
        <w:fldChar w:fldCharType="begin" w:fldLock="1"/>
      </w:r>
      <w:r w:rsidR="00C00593">
        <w:rPr>
          <w:rFonts w:ascii="Times New Roman" w:hAnsi="Times New Roman"/>
        </w:rPr>
        <w:instrText>ADDIN CSL_CITATION {"citationItems":[{"id":"ITEM-1","itemData":{"abstract":"… Potensi konflik paska pemekaran wilayah dapat terjadi akibat … Konflik paska pemekaran wilayah dapat mempengaruhi … Konflik paska pemekaran wilayah dapat pula mempengaruhi …","author":[{"dropping-particle":"","family":"Yulanda","given":"A","non-dropping-particle":"","parse-names":false,"suffix":""},{"dropping-particle":"","family":"Frinaldi","given":"A","non-dropping-particle":"","parse-names":false,"suffix":""}],"container-title":"Jurnal Ilmu Sosial dan Humaniora","id":"ITEM-1","issue":"2","issued":{"date-parts":[["2023"]]},"page":"69-78","title":"Manajemen Infrastruktur Publik Pasca Pemekaran Kabupaten Kerinci Ditinjau dari Perspektif Hukum Administrasi Negara","type":"article-journal","volume":"1"},"uris":["http://www.mendeley.com/documents/?uuid=bc16598a-c8ff-4ca5-8b8f-29b773506818","http://www.mendeley.com/documents/?uuid=94533c3f-6b60-4b07-855a-891fc794f33d"]}],"mendeley":{"formattedCitation":"A Yulanda and A Frinaldi, “Manajemen Infrastruktur Publik Pasca Pemekaran Kabupaten Kerinci Ditinjau Dari Perspektif Hukum Administrasi Negara,” &lt;i&gt;Jurnal Ilmu Sosial Dan Humaniora&lt;/i&gt; 1, no. 2 (2023): 69–78.","plainTextFormattedCitation":"A Yulanda and A Frinaldi, “Manajemen Infrastruktur Publik Pasca Pemekaran Kabupaten Kerinci Ditinjau Dari Perspektif Hukum Administrasi Negara,” Jurnal Ilmu Sosial Dan Humaniora 1, no. 2 (2023): 69–78.","previouslyFormattedCitation":"A Yulanda and A Frinaldi, “Manajemen Infrastruktur Publik Pasca Pemekaran Kabupaten Kerinci Ditinjau Dari Perspektif Hukum Administrasi Negara,” &lt;i&gt;Jurnal Ilmu Sosial dan Humaniora&lt;/i&gt; 1, no. 2 (2023): 69–78."},"properties":{"noteIndex":8},"schema":"https://github.com/citation-style-language/schema/raw/master/csl-citation.json"}</w:instrText>
      </w:r>
      <w:r w:rsidRPr="00343C8C">
        <w:rPr>
          <w:rFonts w:ascii="Times New Roman" w:hAnsi="Times New Roman"/>
        </w:rPr>
        <w:fldChar w:fldCharType="separate"/>
      </w:r>
      <w:r w:rsidR="00C00593" w:rsidRPr="00C00593">
        <w:rPr>
          <w:rFonts w:ascii="Times New Roman" w:hAnsi="Times New Roman"/>
          <w:noProof/>
        </w:rPr>
        <w:t xml:space="preserve">A Yulanda and A Frinaldi, “Manajemen Infrastruktur Publik Pasca Pemekaran Kabupaten Kerinci Ditinjau Dari Perspektif Hukum Administrasi Negara,” </w:t>
      </w:r>
      <w:r w:rsidR="00C00593" w:rsidRPr="00C00593">
        <w:rPr>
          <w:rFonts w:ascii="Times New Roman" w:hAnsi="Times New Roman"/>
          <w:i/>
          <w:noProof/>
        </w:rPr>
        <w:t>Jurnal Ilmu Sosial Dan Humaniora</w:t>
      </w:r>
      <w:r w:rsidR="00C00593" w:rsidRPr="00C00593">
        <w:rPr>
          <w:rFonts w:ascii="Times New Roman" w:hAnsi="Times New Roman"/>
          <w:noProof/>
        </w:rPr>
        <w:t xml:space="preserve"> 1, no. 2 (2023): 69–78.</w:t>
      </w:r>
      <w:r w:rsidRPr="00343C8C">
        <w:rPr>
          <w:rFonts w:ascii="Times New Roman" w:hAnsi="Times New Roman"/>
        </w:rPr>
        <w:fldChar w:fldCharType="end"/>
      </w:r>
    </w:p>
  </w:footnote>
  <w:footnote w:id="9">
    <w:p w14:paraId="289A65F5" w14:textId="36F27593" w:rsidR="002E007F" w:rsidRPr="0018504E" w:rsidRDefault="002E007F" w:rsidP="00B517C7">
      <w:pPr>
        <w:pStyle w:val="FootnoteText"/>
        <w:spacing w:line="240" w:lineRule="auto"/>
        <w:ind w:firstLine="709"/>
        <w:jc w:val="both"/>
        <w:rPr>
          <w:rFonts w:ascii="Times New Roman" w:hAnsi="Times New Roman"/>
          <w:lang w:val="id-ID"/>
        </w:rPr>
      </w:pPr>
      <w:r w:rsidRPr="0018504E">
        <w:rPr>
          <w:rStyle w:val="FootnoteReference"/>
          <w:rFonts w:ascii="Times New Roman" w:eastAsia="MS Mincho" w:hAnsi="Times New Roman"/>
        </w:rPr>
        <w:footnoteRef/>
      </w:r>
      <w:r w:rsidRPr="0018504E">
        <w:rPr>
          <w:rFonts w:ascii="Times New Roman" w:hAnsi="Times New Roman"/>
        </w:rPr>
        <w:t xml:space="preserve"> </w:t>
      </w:r>
      <w:r w:rsidRPr="0018504E">
        <w:rPr>
          <w:rFonts w:ascii="Times New Roman" w:hAnsi="Times New Roman"/>
        </w:rPr>
        <w:fldChar w:fldCharType="begin" w:fldLock="1"/>
      </w:r>
      <w:r w:rsidR="00C00593">
        <w:rPr>
          <w:rFonts w:ascii="Times New Roman" w:hAnsi="Times New Roman"/>
        </w:rPr>
        <w:instrText>ADDIN CSL_CITATION {"citationItems":[{"id":"ITEM-1","itemData":{"author":[{"dropping-particle":"","family":"Ethnobiology","given":"Integration","non-dropping-particle":"","parse-names":false,"suffix":""}],"id":"ITEM-1","issue":"1","issued":{"date-parts":[["2021"]]},"title":"Integration Ethnobiology and Conservation","type":"article-journal","volume":"4"},"uris":["http://www.mendeley.com/documents/?uuid=86e26150-b8b5-4587-9fcf-87567b9eb736","http://www.mendeley.com/documents/?uuid=0e7b4230-f404-49da-8ef5-056ad9f6692f"]}],"mendeley":{"formattedCitation":"Integration Ethnobiology, “Integration Ethnobiology and Conservation” 4, no. 1 (2021).","plainTextFormattedCitation":"Integration Ethnobiology, “Integration Ethnobiology and Conservation” 4, no. 1 (2021).","previouslyFormattedCitation":"Integration Ethnobiology, “Integration Ethnobiology and Conservation” 4, no. 1 (2021)."},"properties":{"noteIndex":9},"schema":"https://github.com/citation-style-language/schema/raw/master/csl-citation.json"}</w:instrText>
      </w:r>
      <w:r w:rsidRPr="0018504E">
        <w:rPr>
          <w:rFonts w:ascii="Times New Roman" w:hAnsi="Times New Roman"/>
        </w:rPr>
        <w:fldChar w:fldCharType="separate"/>
      </w:r>
      <w:r w:rsidRPr="0018504E">
        <w:rPr>
          <w:rFonts w:ascii="Times New Roman" w:hAnsi="Times New Roman"/>
          <w:noProof/>
        </w:rPr>
        <w:t>Integration Ethnobiology, “Integration Ethnobiology and Conservation” 4, no. 1 (2021).</w:t>
      </w:r>
      <w:r w:rsidRPr="0018504E">
        <w:rPr>
          <w:rFonts w:ascii="Times New Roman" w:hAnsi="Times New Roman"/>
        </w:rPr>
        <w:fldChar w:fldCharType="end"/>
      </w:r>
    </w:p>
  </w:footnote>
  <w:footnote w:id="10">
    <w:p w14:paraId="628BCBEF" w14:textId="2283B238" w:rsidR="002E007F" w:rsidRPr="00FC28DA" w:rsidRDefault="002E007F" w:rsidP="00B517C7">
      <w:pPr>
        <w:pStyle w:val="FootnoteText"/>
        <w:spacing w:line="240" w:lineRule="auto"/>
        <w:ind w:firstLine="709"/>
        <w:jc w:val="both"/>
        <w:rPr>
          <w:rFonts w:ascii="Times New Roman" w:hAnsi="Times New Roman"/>
          <w:lang w:val="id-ID"/>
        </w:rPr>
      </w:pPr>
      <w:r w:rsidRPr="00FC28DA">
        <w:rPr>
          <w:rStyle w:val="FootnoteReference"/>
          <w:rFonts w:ascii="Times New Roman" w:eastAsia="MS Mincho" w:hAnsi="Times New Roman"/>
        </w:rPr>
        <w:footnoteRef/>
      </w:r>
      <w:r w:rsidRPr="00FC28DA">
        <w:rPr>
          <w:rFonts w:ascii="Times New Roman" w:hAnsi="Times New Roman"/>
        </w:rPr>
        <w:t xml:space="preserve"> </w:t>
      </w:r>
      <w:r w:rsidRPr="00FC28DA">
        <w:rPr>
          <w:rFonts w:ascii="Times New Roman" w:hAnsi="Times New Roman"/>
        </w:rPr>
        <w:fldChar w:fldCharType="begin" w:fldLock="1"/>
      </w:r>
      <w:r w:rsidR="00C00593">
        <w:rPr>
          <w:rFonts w:ascii="Times New Roman" w:hAnsi="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approach.","author":[{"dropping-particle":"","family":"Ichsan","given":"Khairul","non-dropping-particle":"","parse-names":false,"suffix":""}],"container-title":"Andrew's Disease of the Skin Clinical Dermatology.","id":"ITEM-1","issued":{"date-parts":[["2023"]]},"title":"PERAN PENYELENGGARA PEMERINTAHAN DAERAH DALAM PEMEKARAN KECAMATAN KANDANG MAKMUR KOTA LHOKSEUMAWE PROVINSI ACEH","type":"article-journal"},"uris":["http://www.mendeley.com/documents/?uuid=7267ea49-fb91-4aef-894a-10fca63f06c9","http://www.mendeley.com/documents/?uuid=43dc2e51-517b-4181-be0d-7b537edbf838"]}],"mendeley":{"formattedCitation":"Khairul Ichsan, “PERAN PENYELENGGARA PEMERINTAHAN DAERAH DALAM PEMEKARAN KECAMATAN KANDANG MAKMUR KOTA LHOKSEUMAWE PROVINSI ACEH,” &lt;i&gt;Andrew’s Disease of the Skin Clinical Dermatology.&lt;/i&gt;, 2023.","manualFormatting":"Khairul Ichsan, “Peran Penyelenggara Pemerintahan Daerah Dalam Pemekaran Kecamatan Kandang Makmur Kota Lhokseumawe Provinsi Aceh,” Andrew’s Disease of the Skin Clinical Dermatology. (2023).","plainTextFormattedCitation":"Khairul Ichsan, “PERAN PENYELENGGARA PEMERINTAHAN DAERAH DALAM PEMEKARAN KECAMATAN KANDANG MAKMUR KOTA LHOKSEUMAWE PROVINSI ACEH,” Andrew’s Disease of the Skin Clinical Dermatology., 2023.","previouslyFormattedCitation":"Khairul Ichsan, “PERAN PENYELENGGARA PEMERINTAHAN DAERAH DALAM PEMEKARAN KECAMATAN KANDANG MAKMUR KOTA LHOKSEUMAWE PROVINSI ACEH,” &lt;i&gt;Andrew’s Disease of the Skin Clinical Dermatology.&lt;/i&gt; (2023)."},"properties":{"noteIndex":10},"schema":"https://github.com/citation-style-language/schema/raw/master/csl-citation.json"}</w:instrText>
      </w:r>
      <w:r w:rsidRPr="00FC28DA">
        <w:rPr>
          <w:rFonts w:ascii="Times New Roman" w:hAnsi="Times New Roman"/>
        </w:rPr>
        <w:fldChar w:fldCharType="separate"/>
      </w:r>
      <w:r w:rsidRPr="00FC28DA">
        <w:rPr>
          <w:rFonts w:ascii="Times New Roman" w:hAnsi="Times New Roman"/>
          <w:noProof/>
        </w:rPr>
        <w:t xml:space="preserve">Khairul Ichsan, “Peran Penyelenggara Pemerintahan Daerah Dalam Pemekaran Kecamatan Kandang Makmur Kota Lhokseumawe Provinsi Aceh,” </w:t>
      </w:r>
      <w:r w:rsidRPr="00FC28DA">
        <w:rPr>
          <w:rFonts w:ascii="Times New Roman" w:hAnsi="Times New Roman"/>
          <w:i/>
          <w:noProof/>
        </w:rPr>
        <w:t>Andrew’s Disease of the Skin Clinical Dermatology.</w:t>
      </w:r>
      <w:r w:rsidRPr="00FC28DA">
        <w:rPr>
          <w:rFonts w:ascii="Times New Roman" w:hAnsi="Times New Roman"/>
          <w:noProof/>
        </w:rPr>
        <w:t xml:space="preserve"> (2023).</w:t>
      </w:r>
      <w:r w:rsidRPr="00FC28DA">
        <w:rPr>
          <w:rFonts w:ascii="Times New Roman" w:hAnsi="Times New Roman"/>
        </w:rPr>
        <w:fldChar w:fldCharType="end"/>
      </w:r>
    </w:p>
  </w:footnote>
  <w:footnote w:id="11">
    <w:p w14:paraId="56C6E249" w14:textId="4E54B56F" w:rsidR="00530C05" w:rsidRPr="00530C05" w:rsidRDefault="00530C05" w:rsidP="00B517C7">
      <w:pPr>
        <w:pStyle w:val="FootnoteText"/>
        <w:spacing w:line="240" w:lineRule="auto"/>
        <w:ind w:firstLine="709"/>
        <w:jc w:val="both"/>
        <w:rPr>
          <w:rFonts w:ascii="Times New Roman" w:hAnsi="Times New Roman"/>
          <w:lang w:val="id-ID"/>
        </w:rPr>
      </w:pPr>
      <w:r w:rsidRPr="00530C05">
        <w:rPr>
          <w:rStyle w:val="FootnoteReference"/>
          <w:rFonts w:ascii="Times New Roman" w:eastAsia="MS Mincho" w:hAnsi="Times New Roman"/>
        </w:rPr>
        <w:footnoteRef/>
      </w:r>
      <w:r w:rsidRPr="00530C05">
        <w:rPr>
          <w:rFonts w:ascii="Times New Roman" w:hAnsi="Times New Roman"/>
        </w:rPr>
        <w:t xml:space="preserve"> </w:t>
      </w:r>
      <w:r w:rsidRPr="00530C05">
        <w:rPr>
          <w:rFonts w:ascii="Times New Roman" w:hAnsi="Times New Roman"/>
        </w:rPr>
        <w:fldChar w:fldCharType="begin" w:fldLock="1"/>
      </w:r>
      <w:r w:rsidR="00C00593">
        <w:rPr>
          <w:rFonts w:ascii="Times New Roman" w:hAnsi="Times New Roman"/>
        </w:rPr>
        <w:instrText>ADDIN CSL_CITATION {"citationItems":[{"id":"ITEM-1","itemData":{"abstract":"Bella Septiani: Factors Inhibiting in Forming the Expansion of Kapuas Raya Province as a New Province in West Kalimantan. This research aimed to discuss the problem of the inhibiting factors for the Expansion of Kapuas Raya Province as a new province in West Kalimantan with the aim of describing the factors inhibiting in forming the expansion of Kapuas Raya Province, in terms of Good Governance theory. This research used literature study method with descriptive research type and data collection technique in the form of data analysis. The research results indicate that the obstacles in forming the expansion of Kapuas Raya Province are due to several causes, including the first being the political aspect of the political interest between the regional government and the expansion committee. Secondly, the administrative requirements, in this case the effort to expansion of Kapuas Raya Province, must complete the territorial boundaries and wait for the Draft Government Regulation on Regional Planning and the Draft Government Regulation on the macro regional planning design. The expansion of Kapuas Province can be carried out after the issuance of the two Draft Government Regulations. Finally, this moratorium policy affects the delay in forming the region because it can create a budget burden on the central government and is considered unable to implement governance and development optimally so that public services cannot be provided properly. It is recommended that the central government should accelerate the ratification of the Draft Government Regulation on Regional Planning and the Draft Government Regulation on the macro regional planning design and revoke the moratorium policy.","author":[{"dropping-particle":"","family":"Septiani","given":"Bella","non-dropping-particle":"","parse-names":false,"suffix":""}],"container-title":"ASPIRASI, Jurnal S-1 Ilmu Politik","id":"ITEM-1","issued":{"date-parts":[["2021"]]},"page":"1-17","title":"Faktor-Faktor Yang Menghambat Terbentuknya Pemekaran Provinsi Kapuas Raya Sebagai Provinsi Baru Di Kalimantan Barat","type":"article-journal"},"uris":["http://www.mendeley.com/documents/?uuid=4694a763-ea38-4f74-8361-bfffd6173cdc","http://www.mendeley.com/documents/?uuid=cc45fbc3-8230-4b13-bd3d-0b6b0d42da2c"]}],"mendeley":{"formattedCitation":"Bella Septiani, “Faktor-Faktor Yang Menghambat Terbentuknya Pemekaran Provinsi Kapuas Raya Sebagai Provinsi Baru Di Kalimantan Barat,” &lt;i&gt;ASPIRASI, Jurnal S-1 Ilmu Politik&lt;/i&gt;, 2021, 1–17.","plainTextFormattedCitation":"Bella Septiani, “Faktor-Faktor Yang Menghambat Terbentuknya Pemekaran Provinsi Kapuas Raya Sebagai Provinsi Baru Di Kalimantan Barat,” ASPIRASI, Jurnal S-1 Ilmu Politik, 2021, 1–17.","previouslyFormattedCitation":"Bella Septiani, “Faktor-Faktor Yang Menghambat Terbentuknya Pemekaran Provinsi Kapuas Raya Sebagai Provinsi Baru Di Kalimantan Barat,” &lt;i&gt;ASPIRASI, Jurnal S-1 Ilmu Politik&lt;/i&gt; (2021): 1–17."},"properties":{"noteIndex":11},"schema":"https://github.com/citation-style-language/schema/raw/master/csl-citation.json"}</w:instrText>
      </w:r>
      <w:r w:rsidRPr="00530C05">
        <w:rPr>
          <w:rFonts w:ascii="Times New Roman" w:hAnsi="Times New Roman"/>
        </w:rPr>
        <w:fldChar w:fldCharType="separate"/>
      </w:r>
      <w:r w:rsidR="00C00593" w:rsidRPr="00C00593">
        <w:rPr>
          <w:rFonts w:ascii="Times New Roman" w:hAnsi="Times New Roman"/>
          <w:noProof/>
        </w:rPr>
        <w:t xml:space="preserve">Bella Septiani, “Faktor-Faktor Yang Menghambat Terbentuknya Pemekaran Provinsi Kapuas Raya Sebagai Provinsi Baru Di Kalimantan Barat,” </w:t>
      </w:r>
      <w:r w:rsidR="00C00593" w:rsidRPr="00C00593">
        <w:rPr>
          <w:rFonts w:ascii="Times New Roman" w:hAnsi="Times New Roman"/>
          <w:i/>
          <w:noProof/>
        </w:rPr>
        <w:t>ASPIRASI, Jurnal S-1 Ilmu Politik</w:t>
      </w:r>
      <w:r w:rsidR="00C00593" w:rsidRPr="00C00593">
        <w:rPr>
          <w:rFonts w:ascii="Times New Roman" w:hAnsi="Times New Roman"/>
          <w:noProof/>
        </w:rPr>
        <w:t>, 2021, 1–17.</w:t>
      </w:r>
      <w:r w:rsidRPr="00530C05">
        <w:rPr>
          <w:rFonts w:ascii="Times New Roman" w:hAnsi="Times New Roman"/>
        </w:rPr>
        <w:fldChar w:fldCharType="end"/>
      </w:r>
    </w:p>
  </w:footnote>
  <w:footnote w:id="12">
    <w:p w14:paraId="0026A080" w14:textId="616736A9" w:rsidR="00EA57BD" w:rsidRPr="00E25324" w:rsidRDefault="00EA57BD" w:rsidP="00B517C7">
      <w:pPr>
        <w:pStyle w:val="FootnoteText"/>
        <w:spacing w:line="240" w:lineRule="auto"/>
        <w:ind w:firstLine="709"/>
        <w:jc w:val="both"/>
        <w:rPr>
          <w:rFonts w:asciiTheme="majorBidi" w:hAnsiTheme="majorBidi" w:cstheme="majorBidi"/>
          <w:lang w:val="id-ID"/>
        </w:rPr>
      </w:pPr>
      <w:r w:rsidRPr="00E25324">
        <w:rPr>
          <w:rStyle w:val="FootnoteReference"/>
          <w:rFonts w:asciiTheme="majorBidi" w:eastAsia="MS Mincho" w:hAnsiTheme="majorBidi" w:cstheme="majorBidi"/>
        </w:rPr>
        <w:footnoteRef/>
      </w:r>
      <w:r w:rsidRPr="00E25324">
        <w:rPr>
          <w:rFonts w:asciiTheme="majorBidi" w:hAnsiTheme="majorBidi" w:cstheme="majorBidi"/>
        </w:rPr>
        <w:t xml:space="preserve"> </w:t>
      </w:r>
      <w:r w:rsidRPr="00E25324">
        <w:rPr>
          <w:rFonts w:asciiTheme="majorBidi" w:hAnsiTheme="majorBidi" w:cstheme="majorBidi"/>
        </w:rPr>
        <w:fldChar w:fldCharType="begin" w:fldLock="1"/>
      </w:r>
      <w:r w:rsidR="00C00593">
        <w:rPr>
          <w:rFonts w:asciiTheme="majorBidi" w:hAnsiTheme="majorBidi" w:cstheme="majorBidi"/>
        </w:rPr>
        <w:instrText>ADDIN CSL_CITATION {"citationItems":[{"id":"ITEM-1","itemData":{"DOI":"10.52447/ijpa.v9i1.6894","abstract":"… Dengan demikian pemekaran wilayah diharapkan dapat memacu perkembangan sosial, ekonomi, peningkatan kualitas demokrasi, mengurangi kesenjangan dan menjaga kelestarian …","author":[{"dropping-particle":"","family":"Aguswan","given":"","non-dropping-particle":"","parse-names":false,"suffix":""},{"dropping-particle":"","family":"Mirad","given":"2Abdul","non-dropping-particle":"","parse-names":false,"suffix":""},{"dropping-particle":"","family":"3Wasiah Sufi, 4Dwi Herlinda","given":"5Elly Nielwaty","non-dropping-particle":"","parse-names":false,"suffix":""},{"dropping-particle":"","family":"1, 2, 3, 4, 5Fakultas Ilmu Administrasi","given":"Universitas Lancang Kuning","non-dropping-particle":"","parse-names":false,"suffix":""}],"container-title":"The Indonesian Journal of Public Administration (IJPA)","id":"ITEM-1","issue":"1","issued":{"date-parts":[["2023"]]},"page":"56-67","title":"Perwujudan Good governance Pasca Pemekaran Kecamatan Binawidya Kota Pekanbaru","type":"article-journal","volume":"9"},"uris":["http://www.mendeley.com/documents/?uuid=75a06745-5f97-46f2-8af1-756cc72a66db","http://www.mendeley.com/documents/?uuid=94279dd9-d2fd-46af-9765-6fddcc0ee806"]}],"mendeley":{"formattedCitation":"Aguswan et al., “Perwujudan Good Governance Pasca Pemekaran Kecamatan Binawidya Kota Pekanbaru.”","plainTextFormattedCitation":"Aguswan et al., “Perwujudan Good Governance Pasca Pemekaran Kecamatan Binawidya Kota Pekanbaru.”","previouslyFormattedCitation":"Aguswan et al., “Perwujudan Good Governance Pasca Pemekaran Kecamatan Binawidya Kota Pekanbaru.”"},"properties":{"noteIndex":12},"schema":"https://github.com/citation-style-language/schema/raw/master/csl-citation.json"}</w:instrText>
      </w:r>
      <w:r w:rsidRPr="00E25324">
        <w:rPr>
          <w:rFonts w:asciiTheme="majorBidi" w:hAnsiTheme="majorBidi" w:cstheme="majorBidi"/>
        </w:rPr>
        <w:fldChar w:fldCharType="separate"/>
      </w:r>
      <w:r w:rsidRPr="00E25324">
        <w:rPr>
          <w:rFonts w:asciiTheme="majorBidi" w:hAnsiTheme="majorBidi" w:cstheme="majorBidi"/>
          <w:noProof/>
        </w:rPr>
        <w:t>Aguswan et al., “Perwujudan Good Governance Pasca Pemekaran Kecamatan Binawidya Kota Pekanbaru.”</w:t>
      </w:r>
      <w:r w:rsidRPr="00E25324">
        <w:rPr>
          <w:rFonts w:asciiTheme="majorBidi" w:hAnsiTheme="majorBidi" w:cstheme="majorBidi"/>
        </w:rPr>
        <w:fldChar w:fldCharType="end"/>
      </w:r>
    </w:p>
  </w:footnote>
  <w:footnote w:id="13">
    <w:p w14:paraId="470F11E9" w14:textId="12383A9E" w:rsidR="009175CF" w:rsidRPr="00E25324" w:rsidRDefault="009175CF" w:rsidP="00B517C7">
      <w:pPr>
        <w:pStyle w:val="FootnoteText"/>
        <w:spacing w:line="240" w:lineRule="auto"/>
        <w:ind w:firstLine="709"/>
        <w:jc w:val="both"/>
        <w:rPr>
          <w:rFonts w:asciiTheme="majorBidi" w:hAnsiTheme="majorBidi" w:cstheme="majorBidi"/>
          <w:lang w:val="id-ID"/>
        </w:rPr>
      </w:pPr>
      <w:r w:rsidRPr="00E25324">
        <w:rPr>
          <w:rStyle w:val="FootnoteReference"/>
          <w:rFonts w:asciiTheme="majorBidi" w:eastAsia="MS Mincho" w:hAnsiTheme="majorBidi" w:cstheme="majorBidi"/>
        </w:rPr>
        <w:footnoteRef/>
      </w:r>
      <w:r w:rsidRPr="00E25324">
        <w:rPr>
          <w:rFonts w:asciiTheme="majorBidi" w:hAnsiTheme="majorBidi" w:cstheme="majorBidi"/>
        </w:rPr>
        <w:t xml:space="preserve"> </w:t>
      </w:r>
      <w:r w:rsidRPr="00E25324">
        <w:rPr>
          <w:rFonts w:asciiTheme="majorBidi" w:hAnsiTheme="majorBidi" w:cstheme="majorBidi"/>
        </w:rPr>
        <w:fldChar w:fldCharType="begin" w:fldLock="1"/>
      </w:r>
      <w:r w:rsidR="00C00593">
        <w:rPr>
          <w:rFonts w:asciiTheme="majorBidi" w:hAnsiTheme="majorBidi" w:cstheme="majorBidi"/>
        </w:rPr>
        <w:instrText>ADDIN CSL_CITATION {"citationItems":[{"id":"ITEM-1","itemData":{"author":[{"dropping-particle":"","family":"Andi Tenri1, Rahmawati11, La Didi1, Rosnani Said2","given":"Andy Arya Maulana Wijaya3","non-dropping-particle":"","parse-names":false,"suffix":""}],"container-title":"Jurnal Hukum dan Adat","id":"ITEM-1","issue":"1","issued":{"date-parts":[["2023"]]},"page":"13-23","title":"ANALISIS KELAYAKAN PEMEKARANKECAMATAN KAPONTORI KABUPATEN BUTON","type":"article-journal","volume":"Vol. 1, No"},"uris":["http://www.mendeley.com/documents/?uuid=d693334a-2c40-4657-bc8c-8926008e89b7","http://www.mendeley.com/documents/?uuid=93520e9e-97ac-4cff-9858-a8ef5a10f8d6"]}],"mendeley":{"formattedCitation":"Andy Arya Maulana Wijaya3 Andi Tenri1, Rahmawati11, La Didi1, Rosnani Said2, “ANALISIS KELAYAKAN PEMEKARANKECAMATAN KAPONTORI KABUPATEN BUTON,” &lt;i&gt;Jurnal Hukum Dan Adat&lt;/i&gt; Vol. 1, No, no. 1 (2023): 13–23.","manualFormatting":"Andy Arya Maulana Wijaya3 Andi Tenri1, Rahmawati11, La Didi1, Rosnani Said2, “Analisis Kelayakan Pemekarankecamatan Kapontori Kabupaten Buton,” Jurnal Hukum dan Adat Vol. 1, No, no. 1 (2023): 13–23.","plainTextFormattedCitation":"Andy Arya Maulana Wijaya3 Andi Tenri1, Rahmawati11, La Didi1, Rosnani Said2, “ANALISIS KELAYAKAN PEMEKARANKECAMATAN KAPONTORI KABUPATEN BUTON,” Jurnal Hukum Dan Adat Vol. 1, No, no. 1 (2023): 13–23.","previouslyFormattedCitation":"Andy Arya Maulana Wijaya3 Andi Tenri1, Rahmawati11, La Didi1, Rosnani Said2, “ANALISIS KELAYAKAN PEMEKARANKECAMATAN KAPONTORI KABUPATEN BUTON,” &lt;i&gt;Jurnal Hukum dan Adat&lt;/i&gt; Vol. 1, No, no. 1 (2023): 13–23."},"properties":{"noteIndex":13},"schema":"https://github.com/citation-style-language/schema/raw/master/csl-citation.json"}</w:instrText>
      </w:r>
      <w:r w:rsidRPr="00E25324">
        <w:rPr>
          <w:rFonts w:asciiTheme="majorBidi" w:hAnsiTheme="majorBidi" w:cstheme="majorBidi"/>
        </w:rPr>
        <w:fldChar w:fldCharType="separate"/>
      </w:r>
      <w:r w:rsidRPr="00E25324">
        <w:rPr>
          <w:rFonts w:asciiTheme="majorBidi" w:hAnsiTheme="majorBidi" w:cstheme="majorBidi"/>
          <w:noProof/>
        </w:rPr>
        <w:t xml:space="preserve">Andy Arya Maulana Wijaya3 Andi Tenri1, Rahmawati11, La Didi1, Rosnani Said2, “Analisis Kelayakan Pemekarankecamatan Kapontori Kabupaten Buton,” </w:t>
      </w:r>
      <w:r w:rsidRPr="00E25324">
        <w:rPr>
          <w:rFonts w:asciiTheme="majorBidi" w:hAnsiTheme="majorBidi" w:cstheme="majorBidi"/>
          <w:i/>
          <w:noProof/>
        </w:rPr>
        <w:t>Jurnal Hukum dan Adat</w:t>
      </w:r>
      <w:r w:rsidRPr="00E25324">
        <w:rPr>
          <w:rFonts w:asciiTheme="majorBidi" w:hAnsiTheme="majorBidi" w:cstheme="majorBidi"/>
          <w:noProof/>
        </w:rPr>
        <w:t xml:space="preserve"> Vol. 1, No, no. 1 (2023): 13–23.</w:t>
      </w:r>
      <w:r w:rsidRPr="00E25324">
        <w:rPr>
          <w:rFonts w:asciiTheme="majorBidi" w:hAnsiTheme="majorBidi" w:cstheme="majorBidi"/>
        </w:rPr>
        <w:fldChar w:fldCharType="end"/>
      </w:r>
    </w:p>
  </w:footnote>
  <w:footnote w:id="14">
    <w:p w14:paraId="5B0C2671" w14:textId="70DA4775" w:rsidR="009175CF" w:rsidRPr="00A5430C" w:rsidRDefault="009175CF" w:rsidP="00B517C7">
      <w:pPr>
        <w:pStyle w:val="FootnoteText"/>
        <w:spacing w:line="240" w:lineRule="auto"/>
        <w:ind w:firstLine="709"/>
        <w:jc w:val="both"/>
        <w:rPr>
          <w:rFonts w:asciiTheme="majorBidi" w:hAnsiTheme="majorBidi" w:cstheme="majorBidi"/>
          <w:lang w:val="id-ID"/>
        </w:rPr>
      </w:pPr>
      <w:r w:rsidRPr="00A5430C">
        <w:rPr>
          <w:rStyle w:val="FootnoteReference"/>
          <w:rFonts w:asciiTheme="majorBidi" w:eastAsia="MS Mincho" w:hAnsiTheme="majorBidi" w:cstheme="majorBidi"/>
        </w:rPr>
        <w:footnoteRef/>
      </w:r>
      <w:r w:rsidRPr="00A5430C">
        <w:rPr>
          <w:rFonts w:asciiTheme="majorBidi" w:hAnsiTheme="majorBidi" w:cstheme="majorBidi"/>
        </w:rPr>
        <w:t xml:space="preserve"> </w:t>
      </w:r>
      <w:r w:rsidRPr="00A5430C">
        <w:rPr>
          <w:rFonts w:asciiTheme="majorBidi" w:hAnsiTheme="majorBidi" w:cstheme="majorBidi"/>
        </w:rPr>
        <w:fldChar w:fldCharType="begin" w:fldLock="1"/>
      </w:r>
      <w:r w:rsidR="00C00593">
        <w:rPr>
          <w:rFonts w:asciiTheme="majorBidi" w:hAnsiTheme="majorBidi" w:cstheme="majorBidi"/>
        </w:rPr>
        <w:instrText>ADDIN CSL_CITATION {"citationItems":[{"id":"ITEM-1","itemData":{"author":[{"dropping-particle":"","family":"Andi Tenri1, Rahmawati11, La Didi1, Rosnani Said2","given":"Andy Arya Maulana Wijaya3","non-dropping-particle":"","parse-names":false,"suffix":""}],"container-title":"Jurnal Hukum dan Adat","id":"ITEM-1","issue":"1","issued":{"date-parts":[["2023"]]},"page":"13-23","title":"ANALISIS KELAYAKAN PEMEKARANKECAMATAN KAPONTORI KABUPATEN BUTON","type":"article-journal","volume":"Vol. 1, No"},"uris":["http://www.mendeley.com/documents/?uuid=93520e9e-97ac-4cff-9858-a8ef5a10f8d6","http://www.mendeley.com/documents/?uuid=d693334a-2c40-4657-bc8c-8926008e89b7"]}],"mendeley":{"formattedCitation":"Andi Tenri1, Rahmawati11, La Didi1, Rosnani Said2.","plainTextFormattedCitation":"Andi Tenri1, Rahmawati11, La Didi1, Rosnani Said2.","previouslyFormattedCitation":"Ibid."},"properties":{"noteIndex":14},"schema":"https://github.com/citation-style-language/schema/raw/master/csl-citation.json"}</w:instrText>
      </w:r>
      <w:r w:rsidRPr="00A5430C">
        <w:rPr>
          <w:rFonts w:asciiTheme="majorBidi" w:hAnsiTheme="majorBidi" w:cstheme="majorBidi"/>
        </w:rPr>
        <w:fldChar w:fldCharType="separate"/>
      </w:r>
      <w:r w:rsidR="00C00593" w:rsidRPr="00C00593">
        <w:rPr>
          <w:rFonts w:asciiTheme="majorBidi" w:hAnsiTheme="majorBidi" w:cstheme="majorBidi"/>
          <w:noProof/>
        </w:rPr>
        <w:t>Andi Tenri1, Rahmawati11, La Didi1, Rosnani Said2.</w:t>
      </w:r>
      <w:r w:rsidRPr="00A5430C">
        <w:rPr>
          <w:rFonts w:asciiTheme="majorBidi" w:hAnsiTheme="majorBidi" w:cstheme="majorBidi"/>
        </w:rPr>
        <w:fldChar w:fldCharType="end"/>
      </w:r>
    </w:p>
  </w:footnote>
  <w:footnote w:id="15">
    <w:p w14:paraId="54A40008" w14:textId="142CA3DF" w:rsidR="009175CF" w:rsidRPr="00A5430C" w:rsidRDefault="009175CF" w:rsidP="00B517C7">
      <w:pPr>
        <w:pStyle w:val="FootnoteText"/>
        <w:spacing w:line="240" w:lineRule="auto"/>
        <w:ind w:firstLine="709"/>
        <w:jc w:val="both"/>
        <w:rPr>
          <w:rFonts w:asciiTheme="majorBidi" w:hAnsiTheme="majorBidi" w:cstheme="majorBidi"/>
          <w:lang w:val="id-ID"/>
        </w:rPr>
      </w:pPr>
      <w:r w:rsidRPr="00A5430C">
        <w:rPr>
          <w:rStyle w:val="FootnoteReference"/>
          <w:rFonts w:asciiTheme="majorBidi" w:eastAsia="MS Mincho" w:hAnsiTheme="majorBidi" w:cstheme="majorBidi"/>
        </w:rPr>
        <w:footnoteRef/>
      </w:r>
      <w:r w:rsidRPr="00A5430C">
        <w:rPr>
          <w:rFonts w:asciiTheme="majorBidi" w:hAnsiTheme="majorBidi" w:cstheme="majorBidi"/>
        </w:rPr>
        <w:t xml:space="preserve"> </w:t>
      </w:r>
      <w:r w:rsidRPr="00A5430C">
        <w:rPr>
          <w:rFonts w:asciiTheme="majorBidi" w:hAnsiTheme="majorBidi" w:cstheme="majorBidi"/>
        </w:rPr>
        <w:fldChar w:fldCharType="begin" w:fldLock="1"/>
      </w:r>
      <w:r w:rsidR="00C00593">
        <w:rPr>
          <w:rFonts w:asciiTheme="majorBidi" w:hAnsiTheme="majorBidi" w:cstheme="majorBidi"/>
        </w:rPr>
        <w:instrText>ADDIN CSL_CITATION {"citationItems":[{"id":"ITEM-1","itemData":{"author":[{"dropping-particle":"","family":"Hukum","given":"Tinjauan","non-dropping-particle":"","parse-names":false,"suffix":""},{"dropping-particle":"","family":"Dan","given":"Positif","non-dropping-particle":"","parse-names":false,"suffix":""},{"dropping-particle":"","family":"Siyasah","given":"Fiqih","non-dropping-particle":"","parse-names":false,"suffix":""},{"dropping-particle":"","family":"Asahan","given":"D I Kabupaten","non-dropping-particle":"","parse-names":false,"suffix":""}],"id":"ITEM-1","issued":{"date-parts":[["2021"]]},"title":"MENJADI KECAMATAN RAWANG PANCA ARGA “ TINJAUAN HUKUM POSITIF DAN FIQIH SIYASAH","type":"article-journal"},"uris":["http://www.mendeley.com/documents/?uuid=3041284b-59fe-4f7e-8fa5-904a5189af08","http://www.mendeley.com/documents/?uuid=02ab3dde-bf8d-4ef4-959b-a570698f36a6"]}],"mendeley":{"formattedCitation":"Tinjauan Hukum et al., “MENJADI KECAMATAN RAWANG PANCA ARGA “ TINJAUAN HUKUM POSITIF DAN FIQIH SIYASAH,” 2021.","manualFormatting":"Tinjauan Hukum et al., “Menjadi Kecamatan Rawang Panca Arga “ Tinjauan Hukum Positif Dan Fiqih Siyasah” (2021).","plainTextFormattedCitation":"Tinjauan Hukum et al., “MENJADI KECAMATAN RAWANG PANCA ARGA “ TINJAUAN HUKUM POSITIF DAN FIQIH SIYASAH,” 2021.","previouslyFormattedCitation":"Tinjauan Hukum et al., “MENJADI KECAMATAN RAWANG PANCA ARGA “ TINJAUAN HUKUM POSITIF DAN FIQIH SIYASAH” (2021)."},"properties":{"noteIndex":15},"schema":"https://github.com/citation-style-language/schema/raw/master/csl-citation.json"}</w:instrText>
      </w:r>
      <w:r w:rsidRPr="00A5430C">
        <w:rPr>
          <w:rFonts w:asciiTheme="majorBidi" w:hAnsiTheme="majorBidi" w:cstheme="majorBidi"/>
        </w:rPr>
        <w:fldChar w:fldCharType="separate"/>
      </w:r>
      <w:r w:rsidRPr="00A5430C">
        <w:rPr>
          <w:rFonts w:asciiTheme="majorBidi" w:hAnsiTheme="majorBidi" w:cstheme="majorBidi"/>
          <w:noProof/>
        </w:rPr>
        <w:t>Tinjauan Hukum et al., “Menjadi Kecamatan Rawang Panca Arga “ Tinjauan Hukum Positif Dan Fiqih Siyasah” (2021).</w:t>
      </w:r>
      <w:r w:rsidRPr="00A5430C">
        <w:rPr>
          <w:rFonts w:asciiTheme="majorBidi" w:hAnsiTheme="majorBidi" w:cstheme="majorBidi"/>
        </w:rPr>
        <w:fldChar w:fldCharType="end"/>
      </w:r>
    </w:p>
  </w:footnote>
  <w:footnote w:id="16">
    <w:p w14:paraId="7A5F7F1D" w14:textId="59EC50F9" w:rsidR="00B77D54" w:rsidRPr="00D92B20" w:rsidRDefault="00B77D54" w:rsidP="00B517C7">
      <w:pPr>
        <w:pStyle w:val="FootnoteText"/>
        <w:spacing w:line="240" w:lineRule="auto"/>
        <w:ind w:firstLine="709"/>
        <w:jc w:val="both"/>
        <w:rPr>
          <w:lang w:val="id-ID"/>
        </w:rPr>
      </w:pPr>
      <w:r w:rsidRPr="00A5430C">
        <w:rPr>
          <w:rStyle w:val="FootnoteReference"/>
          <w:rFonts w:asciiTheme="majorBidi" w:eastAsia="MS Mincho" w:hAnsiTheme="majorBidi" w:cstheme="majorBidi"/>
        </w:rPr>
        <w:footnoteRef/>
      </w:r>
      <w:r w:rsidRPr="00A5430C">
        <w:rPr>
          <w:rFonts w:asciiTheme="majorBidi" w:hAnsiTheme="majorBidi" w:cstheme="majorBidi"/>
        </w:rPr>
        <w:t xml:space="preserve"> </w:t>
      </w:r>
      <w:r w:rsidRPr="00A5430C">
        <w:rPr>
          <w:rFonts w:asciiTheme="majorBidi" w:hAnsiTheme="majorBidi" w:cstheme="majorBidi"/>
        </w:rPr>
        <w:fldChar w:fldCharType="begin" w:fldLock="1"/>
      </w:r>
      <w:r w:rsidR="00C00593">
        <w:rPr>
          <w:rFonts w:asciiTheme="majorBidi" w:hAnsiTheme="majorBidi" w:cstheme="majorBidi"/>
        </w:rPr>
        <w:instrText>ADDIN CSL_CITATION {"citationItems":[{"id":"ITEM-1","itemData":{"ISBN":"9786026870087","author":[{"dropping-particle":"","family":"Syariah","given":"Kelembagaan Bank","non-dropping-particle":"","parse-names":false,"suffix":""},{"dropping-particle":"","family":"Ilmu","given":"Graha","non-dropping-particle":"","parse-names":false,"suffix":""}],"id":"ITEM-1","issue":"september 2016","issued":{"date-parts":[["0"]]},"number-of-pages":"1-6","title":"No Kecamatan Monta Dalam Angka 2021","type":"book"},"uris":["http://www.mendeley.com/documents/?uuid=87544d1f-6bc9-46ec-b6bb-94072a40bb52","http://www.mendeley.com/documents/?uuid=802cf6e4-a474-4083-b6ef-44d64875514b"]}],"mendeley":{"formattedCitation":"Kelembagaan Bank Syariah and Graha Ilmu, &lt;i&gt;No Kecamatan Monta Dalam Angka 2021&lt;/i&gt;, n.d.","plainTextFormattedCitation":"Kelembagaan Bank Syariah and Graha Ilmu, No Kecamatan Monta Dalam Angka 2021, n.d.","previouslyFormattedCitation":"Kelembagaan Bank Syariah and Graha Ilmu, &lt;i&gt;No Kecamatan Monta Dalam Angka 2021&lt;/i&gt;, n.d."},"properties":{"noteIndex":16},"schema":"https://github.com/citation-style-language/schema/raw/master/csl-citation.json"}</w:instrText>
      </w:r>
      <w:r w:rsidRPr="00A5430C">
        <w:rPr>
          <w:rFonts w:asciiTheme="majorBidi" w:hAnsiTheme="majorBidi" w:cstheme="majorBidi"/>
        </w:rPr>
        <w:fldChar w:fldCharType="separate"/>
      </w:r>
      <w:r w:rsidRPr="00A5430C">
        <w:rPr>
          <w:rFonts w:asciiTheme="majorBidi" w:hAnsiTheme="majorBidi" w:cstheme="majorBidi"/>
          <w:noProof/>
        </w:rPr>
        <w:t xml:space="preserve">Kelembagaan Bank Syariah and Graha Ilmu, </w:t>
      </w:r>
      <w:r w:rsidRPr="00A5430C">
        <w:rPr>
          <w:rFonts w:asciiTheme="majorBidi" w:hAnsiTheme="majorBidi" w:cstheme="majorBidi"/>
          <w:i/>
          <w:noProof/>
        </w:rPr>
        <w:t>No Kecamatan Monta Dalam Angka 2021</w:t>
      </w:r>
      <w:r w:rsidRPr="00A5430C">
        <w:rPr>
          <w:rFonts w:asciiTheme="majorBidi" w:hAnsiTheme="majorBidi" w:cstheme="majorBidi"/>
          <w:noProof/>
        </w:rPr>
        <w:t>, n.d.</w:t>
      </w:r>
      <w:r w:rsidRPr="00A5430C">
        <w:rPr>
          <w:rFonts w:asciiTheme="majorBidi" w:hAnsiTheme="majorBidi" w:cstheme="majorBidi"/>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B2891" w14:textId="77777777" w:rsidR="002E007F" w:rsidRDefault="002E007F" w:rsidP="00CB75AA">
    <w:pPr>
      <w:pStyle w:val="Header"/>
      <w:tabs>
        <w:tab w:val="clear" w:pos="4111"/>
        <w:tab w:val="center" w:pos="4395"/>
      </w:tabs>
      <w:rPr>
        <w:color w:val="FF0000"/>
      </w:rPr>
    </w:pPr>
    <w:r w:rsidRPr="004D3498">
      <w:rPr>
        <w:noProof/>
      </w:rPr>
      <w:tab/>
    </w:r>
    <w:r>
      <w:rPr>
        <w:color w:val="FF0000"/>
      </w:rPr>
      <w:t>Al-</w:t>
    </w:r>
    <w:proofErr w:type="spellStart"/>
    <w:r>
      <w:rPr>
        <w:color w:val="FF0000"/>
      </w:rPr>
      <w:t>Adalah</w:t>
    </w:r>
    <w:proofErr w:type="spellEnd"/>
    <w:r>
      <w:rPr>
        <w:color w:val="FF0000"/>
      </w:rPr>
      <w:t xml:space="preserve">: </w:t>
    </w:r>
    <w:proofErr w:type="spellStart"/>
    <w:r>
      <w:rPr>
        <w:color w:val="FF0000"/>
      </w:rPr>
      <w:t>Jurnal</w:t>
    </w:r>
    <w:proofErr w:type="spellEnd"/>
    <w:r>
      <w:rPr>
        <w:color w:val="FF0000"/>
      </w:rPr>
      <w:t xml:space="preserve"> </w:t>
    </w:r>
    <w:proofErr w:type="spellStart"/>
    <w:r>
      <w:rPr>
        <w:color w:val="FF0000"/>
      </w:rPr>
      <w:t>Hukum</w:t>
    </w:r>
    <w:proofErr w:type="spellEnd"/>
    <w:r>
      <w:rPr>
        <w:color w:val="FF0000"/>
      </w:rPr>
      <w:t xml:space="preserve"> </w:t>
    </w:r>
    <w:proofErr w:type="spellStart"/>
    <w:r>
      <w:rPr>
        <w:color w:val="FF0000"/>
      </w:rPr>
      <w:t>dan</w:t>
    </w:r>
    <w:proofErr w:type="spellEnd"/>
    <w:r>
      <w:rPr>
        <w:color w:val="FF0000"/>
      </w:rPr>
      <w:t xml:space="preserve"> </w:t>
    </w:r>
    <w:proofErr w:type="spellStart"/>
    <w:r>
      <w:rPr>
        <w:color w:val="FF0000"/>
      </w:rPr>
      <w:t>Politik</w:t>
    </w:r>
    <w:proofErr w:type="spellEnd"/>
    <w:r>
      <w:rPr>
        <w:color w:val="FF0000"/>
      </w:rPr>
      <w:t xml:space="preserve"> Islam</w:t>
    </w:r>
    <w:r>
      <w:rPr>
        <w:noProof/>
      </w:rPr>
      <w:tab/>
    </w:r>
    <w:r w:rsidRPr="000356E9">
      <w:rPr>
        <w:color w:val="FF0000"/>
      </w:rPr>
      <w:t xml:space="preserve">ISSN </w:t>
    </w:r>
    <w:r>
      <w:rPr>
        <w:color w:val="FF0000"/>
      </w:rPr>
      <w:t>2685-550X</w:t>
    </w:r>
  </w:p>
  <w:p w14:paraId="2AE02223" w14:textId="77777777" w:rsidR="002E007F" w:rsidRPr="001F1BC9" w:rsidRDefault="002E007F" w:rsidP="00EB4DD1">
    <w:pPr>
      <w:pStyle w:val="Header"/>
      <w:tabs>
        <w:tab w:val="left" w:pos="5580"/>
      </w:tabs>
      <w:jc w:val="center"/>
      <w:rPr>
        <w:rFonts w:ascii="Britannic Bold" w:eastAsia="Adobe Gothic Std B" w:hAnsi="Britannic Bold"/>
      </w:rPr>
    </w:pPr>
    <w:r w:rsidRPr="00D37BC0">
      <w:rPr>
        <w:rFonts w:ascii="Britannic Bold" w:eastAsia="Adobe Gothic Std B" w:hAnsi="Britannic Bold"/>
      </w:rPr>
      <w:t>https://jurnal.iain-bone.ac.id/index.php/</w:t>
    </w:r>
    <w:r>
      <w:rPr>
        <w:rFonts w:ascii="Britannic Bold" w:eastAsia="Adobe Gothic Std B" w:hAnsi="Britannic Bold"/>
      </w:rPr>
      <w:t>aladalah</w:t>
    </w:r>
  </w:p>
  <w:p w14:paraId="738A5BEC" w14:textId="77777777" w:rsidR="002E007F" w:rsidRPr="00A25627" w:rsidRDefault="002E007F" w:rsidP="00CB75AA">
    <w:pPr>
      <w:pStyle w:val="Header"/>
      <w:tabs>
        <w:tab w:val="clear" w:pos="4111"/>
        <w:tab w:val="center" w:pos="4395"/>
      </w:tabs>
    </w:pPr>
    <w:r>
      <w:rPr>
        <w:i/>
      </w:rPr>
      <w:tab/>
    </w:r>
    <w:r w:rsidRPr="004D3498">
      <w:rPr>
        <w:i/>
      </w:rPr>
      <w:t xml:space="preserve">Vol. </w:t>
    </w:r>
    <w:r>
      <w:rPr>
        <w:i/>
      </w:rPr>
      <w:t xml:space="preserve">8, No. </w:t>
    </w:r>
    <w:r>
      <w:rPr>
        <w:i/>
        <w:lang w:val="id-ID"/>
      </w:rPr>
      <w:t>1</w:t>
    </w:r>
    <w:r w:rsidRPr="004D3498">
      <w:rPr>
        <w:i/>
      </w:rPr>
      <w:t xml:space="preserve">, </w:t>
    </w:r>
    <w:proofErr w:type="gramStart"/>
    <w:r>
      <w:rPr>
        <w:i/>
      </w:rPr>
      <w:t>January  2023</w:t>
    </w:r>
    <w:proofErr w:type="gramEnd"/>
    <w:r w:rsidRPr="004D3498">
      <w:rPr>
        <w:i/>
      </w:rPr>
      <w:t xml:space="preserve">, pp. </w:t>
    </w:r>
    <w:r>
      <w:rPr>
        <w:i/>
      </w:rPr>
      <w:t>1</w:t>
    </w:r>
    <w:r w:rsidRPr="004D3498">
      <w:rPr>
        <w:i/>
      </w:rPr>
      <w:t>-</w:t>
    </w:r>
    <w:r>
      <w:rPr>
        <w:i/>
      </w:rPr>
      <w:t>12</w:t>
    </w:r>
  </w:p>
  <w:p w14:paraId="1DF56A51" w14:textId="77777777" w:rsidR="002E007F" w:rsidRDefault="002E007F" w:rsidP="00CB75AA"/>
  <w:p w14:paraId="6AFC6962" w14:textId="2BBEBBEA" w:rsidR="002E007F" w:rsidRPr="00CB75AA" w:rsidRDefault="007D2186" w:rsidP="00CB75AA">
    <w:pPr>
      <w:pStyle w:val="Header"/>
    </w:pPr>
    <w:r>
      <w:rPr>
        <w:noProof/>
        <w:lang w:val="id-ID" w:eastAsia="id-ID"/>
      </w:rPr>
      <mc:AlternateContent>
        <mc:Choice Requires="wps">
          <w:drawing>
            <wp:anchor distT="0" distB="0" distL="114300" distR="114300" simplePos="0" relativeHeight="251655680" behindDoc="0" locked="0" layoutInCell="1" allowOverlap="1" wp14:anchorId="3D29EF37" wp14:editId="785D3B74">
              <wp:simplePos x="0" y="0"/>
              <wp:positionH relativeFrom="column">
                <wp:posOffset>0</wp:posOffset>
              </wp:positionH>
              <wp:positionV relativeFrom="paragraph">
                <wp:posOffset>6350</wp:posOffset>
              </wp:positionV>
              <wp:extent cx="5565775" cy="64770"/>
              <wp:effectExtent l="3810" t="0" r="2540" b="0"/>
              <wp:wrapNone/>
              <wp:docPr id="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C00000"/>
                          </a:gs>
                          <a:gs pos="100000">
                            <a:srgbClr val="C00000">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86AB6C" id="Rectangle 20" o:spid="_x0000_s1026" style="position:absolute;margin-left:0;margin-top:.5pt;width:438.25pt;height: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" fillcolor="#c00000" stroked="f">
              <v:fill color2="#f2cccc" rotate="t" angle="90" focus="100%" type="gradien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4E557" w14:textId="77777777" w:rsidR="002E007F" w:rsidRDefault="002E007F" w:rsidP="006409EB">
    <w:pPr>
      <w:pStyle w:val="Header"/>
      <w:tabs>
        <w:tab w:val="clear" w:pos="4111"/>
        <w:tab w:val="center" w:pos="4395"/>
      </w:tabs>
      <w:rPr>
        <w:color w:val="FF0000"/>
      </w:rPr>
    </w:pPr>
    <w:r w:rsidRPr="004D3498">
      <w:rPr>
        <w:noProof/>
      </w:rPr>
      <w:tab/>
    </w:r>
    <w:r>
      <w:rPr>
        <w:color w:val="FF0000"/>
      </w:rPr>
      <w:t>Al-</w:t>
    </w:r>
    <w:proofErr w:type="spellStart"/>
    <w:r>
      <w:rPr>
        <w:color w:val="FF0000"/>
      </w:rPr>
      <w:t>Adalah</w:t>
    </w:r>
    <w:proofErr w:type="spellEnd"/>
    <w:r>
      <w:rPr>
        <w:color w:val="FF0000"/>
      </w:rPr>
      <w:t xml:space="preserve">: </w:t>
    </w:r>
    <w:proofErr w:type="spellStart"/>
    <w:r>
      <w:rPr>
        <w:color w:val="FF0000"/>
      </w:rPr>
      <w:t>Jurnal</w:t>
    </w:r>
    <w:proofErr w:type="spellEnd"/>
    <w:r>
      <w:rPr>
        <w:color w:val="FF0000"/>
      </w:rPr>
      <w:t xml:space="preserve"> </w:t>
    </w:r>
    <w:proofErr w:type="spellStart"/>
    <w:r>
      <w:rPr>
        <w:color w:val="FF0000"/>
      </w:rPr>
      <w:t>Hukum</w:t>
    </w:r>
    <w:proofErr w:type="spellEnd"/>
    <w:r>
      <w:rPr>
        <w:color w:val="FF0000"/>
      </w:rPr>
      <w:t xml:space="preserve"> </w:t>
    </w:r>
    <w:proofErr w:type="spellStart"/>
    <w:r>
      <w:rPr>
        <w:color w:val="FF0000"/>
      </w:rPr>
      <w:t>dan</w:t>
    </w:r>
    <w:proofErr w:type="spellEnd"/>
    <w:r>
      <w:rPr>
        <w:color w:val="FF0000"/>
      </w:rPr>
      <w:t xml:space="preserve"> </w:t>
    </w:r>
    <w:proofErr w:type="spellStart"/>
    <w:r>
      <w:rPr>
        <w:color w:val="FF0000"/>
      </w:rPr>
      <w:t>Politik</w:t>
    </w:r>
    <w:proofErr w:type="spellEnd"/>
    <w:r>
      <w:rPr>
        <w:color w:val="FF0000"/>
      </w:rPr>
      <w:t xml:space="preserve"> Islam</w:t>
    </w:r>
    <w:r>
      <w:rPr>
        <w:noProof/>
      </w:rPr>
      <w:tab/>
    </w:r>
    <w:r w:rsidRPr="000356E9">
      <w:rPr>
        <w:color w:val="FF0000"/>
      </w:rPr>
      <w:t xml:space="preserve">ISSN </w:t>
    </w:r>
    <w:r>
      <w:rPr>
        <w:color w:val="FF0000"/>
      </w:rPr>
      <w:t>2685-550X</w:t>
    </w:r>
  </w:p>
  <w:p w14:paraId="028F1C8A" w14:textId="77777777" w:rsidR="002E007F" w:rsidRPr="001F1BC9" w:rsidRDefault="002E007F" w:rsidP="006409EB">
    <w:pPr>
      <w:pStyle w:val="Header"/>
      <w:tabs>
        <w:tab w:val="left" w:pos="5580"/>
      </w:tabs>
      <w:jc w:val="center"/>
      <w:rPr>
        <w:rFonts w:ascii="Britannic Bold" w:eastAsia="Adobe Gothic Std B" w:hAnsi="Britannic Bold"/>
      </w:rPr>
    </w:pPr>
    <w:r w:rsidRPr="00D37BC0">
      <w:rPr>
        <w:rFonts w:ascii="Britannic Bold" w:eastAsia="Adobe Gothic Std B" w:hAnsi="Britannic Bold"/>
      </w:rPr>
      <w:t>https://jurnal.iain-bone.ac.id/index.php/</w:t>
    </w:r>
    <w:r>
      <w:rPr>
        <w:rFonts w:ascii="Britannic Bold" w:eastAsia="Adobe Gothic Std B" w:hAnsi="Britannic Bold"/>
      </w:rPr>
      <w:t>aladalah</w:t>
    </w:r>
  </w:p>
  <w:p w14:paraId="47469D1E" w14:textId="77777777" w:rsidR="002E007F" w:rsidRPr="00A25627" w:rsidRDefault="002E007F" w:rsidP="006409EB">
    <w:pPr>
      <w:pStyle w:val="Header"/>
      <w:tabs>
        <w:tab w:val="clear" w:pos="4111"/>
        <w:tab w:val="center" w:pos="4395"/>
      </w:tabs>
    </w:pPr>
    <w:r>
      <w:rPr>
        <w:i/>
      </w:rPr>
      <w:tab/>
    </w:r>
    <w:r w:rsidRPr="004D3498">
      <w:rPr>
        <w:i/>
      </w:rPr>
      <w:t xml:space="preserve">Vol. </w:t>
    </w:r>
    <w:r>
      <w:rPr>
        <w:i/>
      </w:rPr>
      <w:t xml:space="preserve">8, No. </w:t>
    </w:r>
    <w:r>
      <w:rPr>
        <w:i/>
        <w:lang w:val="id-ID"/>
      </w:rPr>
      <w:t>1</w:t>
    </w:r>
    <w:r w:rsidRPr="004D3498">
      <w:rPr>
        <w:i/>
      </w:rPr>
      <w:t xml:space="preserve">, </w:t>
    </w:r>
    <w:proofErr w:type="gramStart"/>
    <w:r>
      <w:rPr>
        <w:i/>
      </w:rPr>
      <w:t>January  2023</w:t>
    </w:r>
    <w:proofErr w:type="gramEnd"/>
    <w:r w:rsidRPr="004D3498">
      <w:rPr>
        <w:i/>
      </w:rPr>
      <w:t xml:space="preserve">, pp. </w:t>
    </w:r>
    <w:r>
      <w:rPr>
        <w:i/>
      </w:rPr>
      <w:t>1</w:t>
    </w:r>
    <w:r w:rsidRPr="004D3498">
      <w:rPr>
        <w:i/>
      </w:rPr>
      <w:t>-</w:t>
    </w:r>
    <w:r>
      <w:rPr>
        <w:i/>
      </w:rPr>
      <w:t>12</w:t>
    </w:r>
  </w:p>
  <w:p w14:paraId="7B067093" w14:textId="77777777" w:rsidR="002E007F" w:rsidRDefault="002E007F" w:rsidP="006409EB">
    <w:pPr>
      <w:pStyle w:val="Header"/>
      <w:tabs>
        <w:tab w:val="clear" w:pos="4111"/>
        <w:tab w:val="center" w:pos="4395"/>
      </w:tabs>
    </w:pPr>
  </w:p>
  <w:p w14:paraId="41199EBB" w14:textId="66318B9D" w:rsidR="002E007F" w:rsidRPr="00CB75AA" w:rsidRDefault="007D2186" w:rsidP="00CB75AA">
    <w:pPr>
      <w:pStyle w:val="Header"/>
    </w:pPr>
    <w:r>
      <w:rPr>
        <w:noProof/>
        <w:lang w:val="id-ID" w:eastAsia="id-ID"/>
      </w:rPr>
      <mc:AlternateContent>
        <mc:Choice Requires="wps">
          <w:drawing>
            <wp:anchor distT="0" distB="0" distL="114300" distR="114300" simplePos="0" relativeHeight="251657728" behindDoc="0" locked="0" layoutInCell="1" allowOverlap="1" wp14:anchorId="0CCAF3F7" wp14:editId="2F90EF1A">
              <wp:simplePos x="0" y="0"/>
              <wp:positionH relativeFrom="column">
                <wp:posOffset>0</wp:posOffset>
              </wp:positionH>
              <wp:positionV relativeFrom="paragraph">
                <wp:posOffset>36830</wp:posOffset>
              </wp:positionV>
              <wp:extent cx="5565775" cy="64770"/>
              <wp:effectExtent l="3810" t="0" r="254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C00000"/>
                          </a:gs>
                          <a:gs pos="100000">
                            <a:srgbClr val="C00000">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7B15A6" id="Rectangle 2" o:spid="_x0000_s1026" style="position:absolute;margin-left:0;margin-top:2.9pt;width:438.25pt;height: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" fillcolor="#c00000" stroked="f">
              <v:fill color2="#f2cccc" rotate="t" angle="90" focus="100%" type="gradien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7D498" w14:textId="6E96F900" w:rsidR="002E007F" w:rsidRPr="00DD6111" w:rsidRDefault="007D2186" w:rsidP="00847876">
    <w:pPr>
      <w:pStyle w:val="Header"/>
      <w:tabs>
        <w:tab w:val="left" w:pos="5580"/>
      </w:tabs>
      <w:jc w:val="center"/>
      <w:rPr>
        <w:rFonts w:ascii="Britannic Bold" w:eastAsia="Adobe Gothic Std B" w:hAnsi="Britannic Bold"/>
        <w:sz w:val="34"/>
        <w:szCs w:val="74"/>
      </w:rPr>
    </w:pPr>
    <w:r>
      <w:rPr>
        <w:noProof/>
        <w:lang w:val="id-ID" w:eastAsia="id-ID"/>
      </w:rPr>
      <w:drawing>
        <wp:anchor distT="0" distB="0" distL="114300" distR="114300" simplePos="0" relativeHeight="251660800" behindDoc="1" locked="0" layoutInCell="1" allowOverlap="1" wp14:anchorId="60FDFC2E" wp14:editId="6488C914">
          <wp:simplePos x="0" y="0"/>
          <wp:positionH relativeFrom="column">
            <wp:posOffset>4612005</wp:posOffset>
          </wp:positionH>
          <wp:positionV relativeFrom="paragraph">
            <wp:posOffset>-269240</wp:posOffset>
          </wp:positionV>
          <wp:extent cx="1309370" cy="120650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9370" cy="1206500"/>
                  </a:xfrm>
                  <a:prstGeom prst="rect">
                    <a:avLst/>
                  </a:prstGeom>
                  <a:noFill/>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56704" behindDoc="0" locked="0" layoutInCell="1" allowOverlap="1" wp14:anchorId="0AC06C6C" wp14:editId="4BEE324D">
          <wp:simplePos x="0" y="0"/>
          <wp:positionH relativeFrom="column">
            <wp:posOffset>41275</wp:posOffset>
          </wp:positionH>
          <wp:positionV relativeFrom="paragraph">
            <wp:posOffset>-137795</wp:posOffset>
          </wp:positionV>
          <wp:extent cx="626745" cy="880110"/>
          <wp:effectExtent l="0" t="0" r="1905"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6745" cy="880110"/>
                  </a:xfrm>
                  <a:prstGeom prst="rect">
                    <a:avLst/>
                  </a:prstGeom>
                  <a:noFill/>
                </pic:spPr>
              </pic:pic>
            </a:graphicData>
          </a:graphic>
          <wp14:sizeRelH relativeFrom="page">
            <wp14:pctWidth>0</wp14:pctWidth>
          </wp14:sizeRelH>
          <wp14:sizeRelV relativeFrom="page">
            <wp14:pctHeight>0</wp14:pctHeight>
          </wp14:sizeRelV>
        </wp:anchor>
      </w:drawing>
    </w:r>
    <w:r w:rsidR="002E007F">
      <w:rPr>
        <w:rFonts w:ascii="Britannic Bold" w:eastAsia="Adobe Gothic Std B" w:hAnsi="Britannic Bold"/>
        <w:sz w:val="56"/>
        <w:szCs w:val="96"/>
      </w:rPr>
      <w:t>A</w:t>
    </w:r>
    <w:r w:rsidR="002E007F" w:rsidRPr="00DD6111">
      <w:rPr>
        <w:rFonts w:ascii="Britannic Bold" w:eastAsia="Adobe Gothic Std B" w:hAnsi="Britannic Bold"/>
        <w:sz w:val="34"/>
        <w:szCs w:val="74"/>
      </w:rPr>
      <w:t>l-</w:t>
    </w:r>
    <w:proofErr w:type="spellStart"/>
    <w:r w:rsidR="002E007F" w:rsidRPr="00DD6111">
      <w:rPr>
        <w:rFonts w:ascii="Britannic Bold" w:eastAsia="Adobe Gothic Std B" w:hAnsi="Britannic Bold"/>
        <w:sz w:val="34"/>
        <w:szCs w:val="74"/>
      </w:rPr>
      <w:t>Adalah</w:t>
    </w:r>
    <w:proofErr w:type="spellEnd"/>
    <w:r w:rsidR="002E007F" w:rsidRPr="00DD6111">
      <w:rPr>
        <w:rFonts w:ascii="Britannic Bold" w:eastAsia="Adobe Gothic Std B" w:hAnsi="Britannic Bold"/>
        <w:sz w:val="34"/>
        <w:szCs w:val="74"/>
      </w:rPr>
      <w:t xml:space="preserve">: </w:t>
    </w:r>
    <w:proofErr w:type="spellStart"/>
    <w:r w:rsidR="002E007F" w:rsidRPr="00DD6111">
      <w:rPr>
        <w:rFonts w:ascii="Britannic Bold" w:eastAsia="Adobe Gothic Std B" w:hAnsi="Britannic Bold"/>
        <w:sz w:val="34"/>
        <w:szCs w:val="74"/>
      </w:rPr>
      <w:t>Jurnal</w:t>
    </w:r>
    <w:proofErr w:type="spellEnd"/>
    <w:r w:rsidR="002E007F" w:rsidRPr="00DD6111">
      <w:rPr>
        <w:rFonts w:ascii="Britannic Bold" w:eastAsia="Adobe Gothic Std B" w:hAnsi="Britannic Bold"/>
        <w:sz w:val="34"/>
        <w:szCs w:val="74"/>
      </w:rPr>
      <w:t xml:space="preserve"> </w:t>
    </w:r>
    <w:proofErr w:type="spellStart"/>
    <w:r w:rsidR="002E007F" w:rsidRPr="00DD6111">
      <w:rPr>
        <w:rFonts w:ascii="Britannic Bold" w:eastAsia="Adobe Gothic Std B" w:hAnsi="Britannic Bold"/>
        <w:sz w:val="34"/>
        <w:szCs w:val="74"/>
      </w:rPr>
      <w:t>Hukum</w:t>
    </w:r>
    <w:proofErr w:type="spellEnd"/>
    <w:r w:rsidR="002E007F" w:rsidRPr="00DD6111">
      <w:rPr>
        <w:rFonts w:ascii="Britannic Bold" w:eastAsia="Adobe Gothic Std B" w:hAnsi="Britannic Bold"/>
        <w:sz w:val="34"/>
        <w:szCs w:val="74"/>
      </w:rPr>
      <w:t xml:space="preserve"> </w:t>
    </w:r>
    <w:proofErr w:type="spellStart"/>
    <w:r w:rsidR="002E007F" w:rsidRPr="00DD6111">
      <w:rPr>
        <w:rFonts w:ascii="Britannic Bold" w:eastAsia="Adobe Gothic Std B" w:hAnsi="Britannic Bold"/>
        <w:sz w:val="34"/>
        <w:szCs w:val="74"/>
      </w:rPr>
      <w:t>dan</w:t>
    </w:r>
    <w:proofErr w:type="spellEnd"/>
    <w:r w:rsidR="002E007F" w:rsidRPr="00DD6111">
      <w:rPr>
        <w:rFonts w:ascii="Britannic Bold" w:eastAsia="Adobe Gothic Std B" w:hAnsi="Britannic Bold"/>
        <w:sz w:val="34"/>
        <w:szCs w:val="74"/>
      </w:rPr>
      <w:t xml:space="preserve"> </w:t>
    </w:r>
    <w:proofErr w:type="spellStart"/>
    <w:r w:rsidR="002E007F" w:rsidRPr="00DD6111">
      <w:rPr>
        <w:rFonts w:ascii="Britannic Bold" w:eastAsia="Adobe Gothic Std B" w:hAnsi="Britannic Bold"/>
        <w:sz w:val="34"/>
        <w:szCs w:val="74"/>
      </w:rPr>
      <w:t>Politik</w:t>
    </w:r>
    <w:proofErr w:type="spellEnd"/>
    <w:r w:rsidR="002E007F" w:rsidRPr="00DD6111">
      <w:rPr>
        <w:rFonts w:ascii="Britannic Bold" w:eastAsia="Adobe Gothic Std B" w:hAnsi="Britannic Bold"/>
        <w:sz w:val="34"/>
        <w:szCs w:val="74"/>
      </w:rPr>
      <w:t xml:space="preserve"> Isla</w:t>
    </w:r>
    <w:r w:rsidR="002E007F">
      <w:rPr>
        <w:rFonts w:ascii="Britannic Bold" w:eastAsia="Adobe Gothic Std B" w:hAnsi="Britannic Bold"/>
        <w:sz w:val="34"/>
        <w:szCs w:val="74"/>
      </w:rPr>
      <w:t>m</w:t>
    </w:r>
  </w:p>
  <w:p w14:paraId="3DF3B578" w14:textId="77777777" w:rsidR="002E007F" w:rsidRPr="00DD6111" w:rsidRDefault="002E007F" w:rsidP="00847876">
    <w:pPr>
      <w:pStyle w:val="Header"/>
      <w:tabs>
        <w:tab w:val="left" w:pos="5580"/>
      </w:tabs>
      <w:jc w:val="center"/>
      <w:rPr>
        <w:rFonts w:ascii="Britannic Bold" w:eastAsia="Adobe Gothic Std B" w:hAnsi="Britannic Bold"/>
        <w:color w:val="FF0000"/>
      </w:rPr>
    </w:pPr>
    <w:r w:rsidRPr="00DD6111">
      <w:rPr>
        <w:rFonts w:ascii="Britannic Bold" w:eastAsia="Adobe Gothic Std B" w:hAnsi="Britannic Bold"/>
        <w:color w:val="FF0000"/>
      </w:rPr>
      <w:t>https://jurnal.iain-bone.ac.id/index.php/aladalah</w:t>
    </w:r>
  </w:p>
  <w:p w14:paraId="498585CC" w14:textId="77777777" w:rsidR="002E007F" w:rsidRPr="000356E9" w:rsidRDefault="002E007F" w:rsidP="00847876">
    <w:pPr>
      <w:pStyle w:val="Header"/>
      <w:tabs>
        <w:tab w:val="left" w:pos="4065"/>
      </w:tabs>
      <w:jc w:val="center"/>
    </w:pPr>
    <w:r w:rsidRPr="00C33C83">
      <w:rPr>
        <w:lang w:val="id-ID"/>
      </w:rPr>
      <w:t>E-ISSN</w:t>
    </w:r>
    <w:r>
      <w:t xml:space="preserve"> </w:t>
    </w:r>
    <w:r>
      <w:rPr>
        <w:color w:val="FF0000"/>
      </w:rPr>
      <w:t>2685-550X</w:t>
    </w:r>
    <w:r>
      <w:t xml:space="preserve"> | </w:t>
    </w:r>
    <w:r w:rsidRPr="00C33C83">
      <w:rPr>
        <w:lang w:val="id-ID"/>
      </w:rPr>
      <w:t>P-ISSN</w:t>
    </w:r>
    <w:r>
      <w:t xml:space="preserve"> </w:t>
    </w:r>
    <w:r w:rsidRPr="000356E9">
      <w:rPr>
        <w:color w:val="FF0000"/>
      </w:rPr>
      <w:t>X</w:t>
    </w:r>
    <w:r>
      <w:rPr>
        <w:color w:val="FF0000"/>
      </w:rPr>
      <w:t>2406-8802</w:t>
    </w:r>
  </w:p>
  <w:p w14:paraId="226ACEB5" w14:textId="425A8CD2" w:rsidR="002E007F" w:rsidRDefault="007D2186" w:rsidP="00054C0D">
    <w:pPr>
      <w:pStyle w:val="Header"/>
      <w:tabs>
        <w:tab w:val="clear" w:pos="8789"/>
        <w:tab w:val="right" w:pos="8788"/>
      </w:tabs>
      <w:ind w:left="3261"/>
      <w:rPr>
        <w:lang w:val="id-ID"/>
      </w:rPr>
    </w:pPr>
    <w:r>
      <w:rPr>
        <w:noProof/>
        <w:lang w:val="id-ID" w:eastAsia="id-ID"/>
      </w:rPr>
      <w:drawing>
        <wp:anchor distT="0" distB="0" distL="114300" distR="114300" simplePos="0" relativeHeight="251659776" behindDoc="0" locked="0" layoutInCell="1" allowOverlap="1" wp14:anchorId="130C1A71" wp14:editId="4A0F2711">
          <wp:simplePos x="0" y="0"/>
          <wp:positionH relativeFrom="column">
            <wp:posOffset>41275</wp:posOffset>
          </wp:positionH>
          <wp:positionV relativeFrom="paragraph">
            <wp:posOffset>117475</wp:posOffset>
          </wp:positionV>
          <wp:extent cx="179070" cy="187960"/>
          <wp:effectExtent l="0" t="0" r="0" b="2540"/>
          <wp:wrapNone/>
          <wp:docPr id="5"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58752" behindDoc="0" locked="0" layoutInCell="1" allowOverlap="1" wp14:anchorId="525F2529" wp14:editId="3AA6E10D">
          <wp:simplePos x="0" y="0"/>
          <wp:positionH relativeFrom="column">
            <wp:posOffset>4286250</wp:posOffset>
          </wp:positionH>
          <wp:positionV relativeFrom="paragraph">
            <wp:posOffset>92075</wp:posOffset>
          </wp:positionV>
          <wp:extent cx="210820" cy="210820"/>
          <wp:effectExtent l="0" t="0" r="0" b="0"/>
          <wp:wrapNone/>
          <wp:docPr id="6" name="Picture 1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mbar terkai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2E007F" w:rsidRPr="005E2CF0">
      <w:t>Vol</w:t>
    </w:r>
    <w:proofErr w:type="spellEnd"/>
    <w:r w:rsidR="002E007F">
      <w:rPr>
        <w:lang w:val="id-ID"/>
      </w:rPr>
      <w:t>..</w:t>
    </w:r>
    <w:r w:rsidR="002E007F" w:rsidRPr="005E2CF0">
      <w:t>, No</w:t>
    </w:r>
    <w:r w:rsidR="002E007F">
      <w:t>.</w:t>
    </w:r>
    <w:r w:rsidR="002E007F">
      <w:rPr>
        <w:lang w:val="id-ID"/>
      </w:rPr>
      <w:t>..</w:t>
    </w:r>
    <w:r w:rsidR="002E007F" w:rsidRPr="005E2CF0">
      <w:t xml:space="preserve">, </w:t>
    </w:r>
    <w:r w:rsidR="002E007F">
      <w:rPr>
        <w:lang w:val="id-ID"/>
      </w:rPr>
      <w:t>Month, Year</w:t>
    </w:r>
    <w:r w:rsidR="002E007F">
      <w:t xml:space="preserve">, pp. </w:t>
    </w:r>
    <w:r w:rsidR="002E007F">
      <w:rPr>
        <w:lang w:val="id-ID"/>
      </w:rPr>
      <w:t>0</w:t>
    </w:r>
    <w:r w:rsidR="002E007F">
      <w:t>-</w:t>
    </w:r>
    <w:r w:rsidR="002E007F">
      <w:rPr>
        <w:lang w:val="id-ID"/>
      </w:rPr>
      <w:t>0</w:t>
    </w:r>
  </w:p>
  <w:p w14:paraId="7688C94C" w14:textId="77777777" w:rsidR="002E007F" w:rsidRPr="00AA146B" w:rsidRDefault="002E007F" w:rsidP="00054C0D">
    <w:pPr>
      <w:pStyle w:val="Header"/>
      <w:tabs>
        <w:tab w:val="clear" w:pos="8789"/>
        <w:tab w:val="right" w:pos="8788"/>
      </w:tabs>
      <w:rPr>
        <w:color w:val="FF0000"/>
        <w:lang w:val="id-ID"/>
      </w:rPr>
    </w:pPr>
    <w:r>
      <w:rPr>
        <w:sz w:val="16"/>
        <w:szCs w:val="16"/>
      </w:rPr>
      <w:t xml:space="preserve">           </w:t>
    </w:r>
    <w:hyperlink r:id="rId5" w:history="1">
      <w:r w:rsidRPr="005417FA">
        <w:rPr>
          <w:rStyle w:val="Hyperlink"/>
          <w:sz w:val="16"/>
          <w:szCs w:val="16"/>
        </w:rPr>
        <w:t>https:</w:t>
      </w:r>
    </w:hyperlink>
    <w:r w:rsidRPr="00CB75AA">
      <w:rPr>
        <w:sz w:val="16"/>
        <w:szCs w:val="16"/>
      </w:rPr>
      <w:t xml:space="preserve"> </w:t>
    </w:r>
    <w:r w:rsidRPr="00280B64">
      <w:rPr>
        <w:rStyle w:val="Strong"/>
        <w:rFonts w:eastAsia="MS Mincho"/>
        <w:b w:val="0"/>
        <w:color w:val="111111"/>
        <w:sz w:val="16"/>
        <w:szCs w:val="16"/>
        <w:bdr w:val="none" w:sz="0" w:space="0" w:color="auto" w:frame="1"/>
        <w:shd w:val="clear" w:color="auto" w:fill="FFFFFF"/>
      </w:rPr>
      <w:t>Prefix 10.35673</w:t>
    </w:r>
    <w:r w:rsidRPr="00280B64">
      <w:rPr>
        <w:b/>
        <w:bCs/>
        <w:sz w:val="16"/>
        <w:szCs w:val="16"/>
      </w:rPr>
      <w:t xml:space="preserve">      </w:t>
    </w:r>
    <w:r>
      <w:rPr>
        <w:b/>
        <w:bCs/>
        <w:sz w:val="16"/>
        <w:szCs w:val="16"/>
      </w:rPr>
      <w:t xml:space="preserve"> </w:t>
    </w:r>
    <w:r w:rsidRPr="00280B64">
      <w:rPr>
        <w:b/>
        <w:bCs/>
        <w:sz w:val="16"/>
        <w:szCs w:val="16"/>
      </w:rPr>
      <w:t xml:space="preserve">                                                                                                                            </w:t>
    </w:r>
    <w:r>
      <w:rPr>
        <w:sz w:val="16"/>
        <w:szCs w:val="16"/>
      </w:rPr>
      <w:t>aladalah</w:t>
    </w:r>
    <w:r w:rsidRPr="00CB57DF">
      <w:rPr>
        <w:sz w:val="16"/>
        <w:szCs w:val="16"/>
      </w:rPr>
      <w:t>@iain-bone.ac.id</w:t>
    </w:r>
    <w:r>
      <w:tab/>
    </w:r>
  </w:p>
  <w:p w14:paraId="789F56C0" w14:textId="77777777" w:rsidR="002E007F" w:rsidRPr="009A1E62" w:rsidRDefault="002E007F" w:rsidP="00847876">
    <w:pPr>
      <w:pStyle w:val="Header"/>
    </w:pPr>
  </w:p>
  <w:p w14:paraId="13D0048E" w14:textId="196C3139" w:rsidR="002E007F" w:rsidRPr="00847876" w:rsidRDefault="007D2186" w:rsidP="00847876">
    <w:pPr>
      <w:pStyle w:val="Header"/>
    </w:pPr>
    <w:r>
      <w:rPr>
        <w:noProof/>
        <w:lang w:val="id-ID" w:eastAsia="id-ID"/>
      </w:rPr>
      <mc:AlternateContent>
        <mc:Choice Requires="wps">
          <w:drawing>
            <wp:anchor distT="0" distB="0" distL="114300" distR="114300" simplePos="0" relativeHeight="251654656" behindDoc="0" locked="0" layoutInCell="1" allowOverlap="1" wp14:anchorId="27217402" wp14:editId="74B68729">
              <wp:simplePos x="0" y="0"/>
              <wp:positionH relativeFrom="column">
                <wp:posOffset>0</wp:posOffset>
              </wp:positionH>
              <wp:positionV relativeFrom="paragraph">
                <wp:posOffset>38735</wp:posOffset>
              </wp:positionV>
              <wp:extent cx="5565775" cy="64770"/>
              <wp:effectExtent l="13335" t="13335" r="12065" b="762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FF0000"/>
                          </a:gs>
                          <a:gs pos="100000">
                            <a:srgbClr val="FF0000">
                              <a:gamma/>
                              <a:tint val="20000"/>
                              <a:invGamma/>
                            </a:srgbClr>
                          </a:gs>
                        </a:gsLst>
                        <a:lin ang="0" scaled="1"/>
                      </a:gradFill>
                      <a:ln w="9525">
                        <a:solidFill>
                          <a:srgbClr val="FF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01D156" id="Rectangle 1" o:spid="_x0000_s1026" style="position:absolute;margin-left:0;margin-top:3.05pt;width:438.25pt;height: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" fillcolor="red" strokecolor="red">
              <v:fill color2="#fcc" rotate="t" angle="90" focus="100%" type="gradien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74065"/>
    <w:multiLevelType w:val="hybridMultilevel"/>
    <w:tmpl w:val="FFFFFFFF"/>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nsid w:val="0D122105"/>
    <w:multiLevelType w:val="hybridMultilevel"/>
    <w:tmpl w:val="FFFFFFFF"/>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2806879"/>
    <w:multiLevelType w:val="hybridMultilevel"/>
    <w:tmpl w:val="FFFFFFFF"/>
    <w:lvl w:ilvl="0" w:tplc="633E9EA0">
      <w:start w:val="1"/>
      <w:numFmt w:val="decimal"/>
      <w:lvlText w:val="%1."/>
      <w:lvlJc w:val="left"/>
      <w:pPr>
        <w:ind w:left="648" w:hanging="360"/>
      </w:pPr>
      <w:rPr>
        <w:rFonts w:cs="Times New Roman" w:hint="default"/>
      </w:rPr>
    </w:lvl>
    <w:lvl w:ilvl="1" w:tplc="04210019" w:tentative="1">
      <w:start w:val="1"/>
      <w:numFmt w:val="lowerLetter"/>
      <w:lvlText w:val="%2."/>
      <w:lvlJc w:val="left"/>
      <w:pPr>
        <w:ind w:left="1368" w:hanging="360"/>
      </w:pPr>
      <w:rPr>
        <w:rFonts w:cs="Times New Roman"/>
      </w:rPr>
    </w:lvl>
    <w:lvl w:ilvl="2" w:tplc="0421001B" w:tentative="1">
      <w:start w:val="1"/>
      <w:numFmt w:val="lowerRoman"/>
      <w:lvlText w:val="%3."/>
      <w:lvlJc w:val="right"/>
      <w:pPr>
        <w:ind w:left="2088" w:hanging="180"/>
      </w:pPr>
      <w:rPr>
        <w:rFonts w:cs="Times New Roman"/>
      </w:rPr>
    </w:lvl>
    <w:lvl w:ilvl="3" w:tplc="0421000F" w:tentative="1">
      <w:start w:val="1"/>
      <w:numFmt w:val="decimal"/>
      <w:lvlText w:val="%4."/>
      <w:lvlJc w:val="left"/>
      <w:pPr>
        <w:ind w:left="2808" w:hanging="360"/>
      </w:pPr>
      <w:rPr>
        <w:rFonts w:cs="Times New Roman"/>
      </w:rPr>
    </w:lvl>
    <w:lvl w:ilvl="4" w:tplc="04210019" w:tentative="1">
      <w:start w:val="1"/>
      <w:numFmt w:val="lowerLetter"/>
      <w:lvlText w:val="%5."/>
      <w:lvlJc w:val="left"/>
      <w:pPr>
        <w:ind w:left="3528" w:hanging="360"/>
      </w:pPr>
      <w:rPr>
        <w:rFonts w:cs="Times New Roman"/>
      </w:rPr>
    </w:lvl>
    <w:lvl w:ilvl="5" w:tplc="0421001B" w:tentative="1">
      <w:start w:val="1"/>
      <w:numFmt w:val="lowerRoman"/>
      <w:lvlText w:val="%6."/>
      <w:lvlJc w:val="right"/>
      <w:pPr>
        <w:ind w:left="4248" w:hanging="180"/>
      </w:pPr>
      <w:rPr>
        <w:rFonts w:cs="Times New Roman"/>
      </w:rPr>
    </w:lvl>
    <w:lvl w:ilvl="6" w:tplc="0421000F" w:tentative="1">
      <w:start w:val="1"/>
      <w:numFmt w:val="decimal"/>
      <w:lvlText w:val="%7."/>
      <w:lvlJc w:val="left"/>
      <w:pPr>
        <w:ind w:left="4968" w:hanging="360"/>
      </w:pPr>
      <w:rPr>
        <w:rFonts w:cs="Times New Roman"/>
      </w:rPr>
    </w:lvl>
    <w:lvl w:ilvl="7" w:tplc="04210019" w:tentative="1">
      <w:start w:val="1"/>
      <w:numFmt w:val="lowerLetter"/>
      <w:lvlText w:val="%8."/>
      <w:lvlJc w:val="left"/>
      <w:pPr>
        <w:ind w:left="5688" w:hanging="360"/>
      </w:pPr>
      <w:rPr>
        <w:rFonts w:cs="Times New Roman"/>
      </w:rPr>
    </w:lvl>
    <w:lvl w:ilvl="8" w:tplc="0421001B" w:tentative="1">
      <w:start w:val="1"/>
      <w:numFmt w:val="lowerRoman"/>
      <w:lvlText w:val="%9."/>
      <w:lvlJc w:val="right"/>
      <w:pPr>
        <w:ind w:left="6408" w:hanging="180"/>
      </w:pPr>
      <w:rPr>
        <w:rFonts w:cs="Times New Roman"/>
      </w:rPr>
    </w:lvl>
  </w:abstractNum>
  <w:abstractNum w:abstractNumId="3">
    <w:nsid w:val="13AE33C7"/>
    <w:multiLevelType w:val="hybridMultilevel"/>
    <w:tmpl w:val="FFFFFFFF"/>
    <w:lvl w:ilvl="0" w:tplc="856A9A10">
      <w:start w:val="1"/>
      <w:numFmt w:val="upperRoman"/>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151C0F65"/>
    <w:multiLevelType w:val="multilevel"/>
    <w:tmpl w:val="FFFFFFFF"/>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29322B9F"/>
    <w:multiLevelType w:val="multilevel"/>
    <w:tmpl w:val="FFFFFFFF"/>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6">
    <w:nsid w:val="2DC75BDB"/>
    <w:multiLevelType w:val="hybridMultilevel"/>
    <w:tmpl w:val="CCC2C954"/>
    <w:lvl w:ilvl="0" w:tplc="8A44FC04">
      <w:start w:val="1"/>
      <w:numFmt w:val="decimal"/>
      <w:lvlText w:val="%1."/>
      <w:lvlJc w:val="left"/>
      <w:pPr>
        <w:ind w:left="786" w:hanging="360"/>
      </w:pPr>
      <w:rPr>
        <w:rFonts w:hint="default"/>
        <w:b/>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F395C53"/>
    <w:multiLevelType w:val="multilevel"/>
    <w:tmpl w:val="2BE0A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180858"/>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7660336"/>
    <w:multiLevelType w:val="hybridMultilevel"/>
    <w:tmpl w:val="FFFFFFFF"/>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3DC32430"/>
    <w:multiLevelType w:val="multilevel"/>
    <w:tmpl w:val="FFFFFFFF"/>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4189603E"/>
    <w:multiLevelType w:val="multilevel"/>
    <w:tmpl w:val="D8D04FAC"/>
    <w:lvl w:ilvl="0">
      <w:start w:val="1"/>
      <w:numFmt w:val="decimal"/>
      <w:pStyle w:val="Heading1"/>
      <w:lvlText w:val="%1."/>
      <w:lvlJc w:val="left"/>
      <w:pPr>
        <w:ind w:left="360" w:hanging="360"/>
      </w:pPr>
      <w:rPr>
        <w:rFonts w:cs="Times New Roman" w:hint="default"/>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bCs w:val="0"/>
        <w:i w:val="0"/>
        <w:iCs/>
        <w:caps w:val="0"/>
        <w:strike w:val="0"/>
        <w:dstrike w:val="0"/>
        <w:vanish w:val="0"/>
        <w:color w:val="auto"/>
        <w:sz w:val="22"/>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nsid w:val="43334A1A"/>
    <w:multiLevelType w:val="hybridMultilevel"/>
    <w:tmpl w:val="FFFFFFFF"/>
    <w:lvl w:ilvl="0" w:tplc="48100A54">
      <w:start w:val="1"/>
      <w:numFmt w:val="upperRoman"/>
      <w:lvlText w:val="%1."/>
      <w:lvlJc w:val="left"/>
      <w:pPr>
        <w:ind w:left="792" w:hanging="720"/>
      </w:pPr>
      <w:rPr>
        <w:rFonts w:cs="Times New Roman" w:hint="default"/>
      </w:rPr>
    </w:lvl>
    <w:lvl w:ilvl="1" w:tplc="04090019" w:tentative="1">
      <w:start w:val="1"/>
      <w:numFmt w:val="lowerLetter"/>
      <w:lvlText w:val="%2."/>
      <w:lvlJc w:val="left"/>
      <w:pPr>
        <w:ind w:left="1152" w:hanging="360"/>
      </w:pPr>
      <w:rPr>
        <w:rFonts w:cs="Times New Roman"/>
      </w:rPr>
    </w:lvl>
    <w:lvl w:ilvl="2" w:tplc="0409001B" w:tentative="1">
      <w:start w:val="1"/>
      <w:numFmt w:val="lowerRoman"/>
      <w:lvlText w:val="%3."/>
      <w:lvlJc w:val="right"/>
      <w:pPr>
        <w:ind w:left="1872" w:hanging="180"/>
      </w:pPr>
      <w:rPr>
        <w:rFonts w:cs="Times New Roman"/>
      </w:rPr>
    </w:lvl>
    <w:lvl w:ilvl="3" w:tplc="0409000F" w:tentative="1">
      <w:start w:val="1"/>
      <w:numFmt w:val="decimal"/>
      <w:lvlText w:val="%4."/>
      <w:lvlJc w:val="left"/>
      <w:pPr>
        <w:ind w:left="2592" w:hanging="360"/>
      </w:pPr>
      <w:rPr>
        <w:rFonts w:cs="Times New Roman"/>
      </w:rPr>
    </w:lvl>
    <w:lvl w:ilvl="4" w:tplc="04090019" w:tentative="1">
      <w:start w:val="1"/>
      <w:numFmt w:val="lowerLetter"/>
      <w:lvlText w:val="%5."/>
      <w:lvlJc w:val="left"/>
      <w:pPr>
        <w:ind w:left="3312" w:hanging="360"/>
      </w:pPr>
      <w:rPr>
        <w:rFonts w:cs="Times New Roman"/>
      </w:rPr>
    </w:lvl>
    <w:lvl w:ilvl="5" w:tplc="0409001B" w:tentative="1">
      <w:start w:val="1"/>
      <w:numFmt w:val="lowerRoman"/>
      <w:lvlText w:val="%6."/>
      <w:lvlJc w:val="right"/>
      <w:pPr>
        <w:ind w:left="4032" w:hanging="180"/>
      </w:pPr>
      <w:rPr>
        <w:rFonts w:cs="Times New Roman"/>
      </w:rPr>
    </w:lvl>
    <w:lvl w:ilvl="6" w:tplc="0409000F" w:tentative="1">
      <w:start w:val="1"/>
      <w:numFmt w:val="decimal"/>
      <w:lvlText w:val="%7."/>
      <w:lvlJc w:val="left"/>
      <w:pPr>
        <w:ind w:left="4752" w:hanging="360"/>
      </w:pPr>
      <w:rPr>
        <w:rFonts w:cs="Times New Roman"/>
      </w:rPr>
    </w:lvl>
    <w:lvl w:ilvl="7" w:tplc="04090019" w:tentative="1">
      <w:start w:val="1"/>
      <w:numFmt w:val="lowerLetter"/>
      <w:lvlText w:val="%8."/>
      <w:lvlJc w:val="left"/>
      <w:pPr>
        <w:ind w:left="5472" w:hanging="360"/>
      </w:pPr>
      <w:rPr>
        <w:rFonts w:cs="Times New Roman"/>
      </w:rPr>
    </w:lvl>
    <w:lvl w:ilvl="8" w:tplc="0409001B" w:tentative="1">
      <w:start w:val="1"/>
      <w:numFmt w:val="lowerRoman"/>
      <w:lvlText w:val="%9."/>
      <w:lvlJc w:val="right"/>
      <w:pPr>
        <w:ind w:left="6192" w:hanging="180"/>
      </w:pPr>
      <w:rPr>
        <w:rFonts w:cs="Times New Roman"/>
      </w:rPr>
    </w:lvl>
  </w:abstractNum>
  <w:abstractNum w:abstractNumId="13">
    <w:nsid w:val="4BBA5650"/>
    <w:multiLevelType w:val="multilevel"/>
    <w:tmpl w:val="21F8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C2021A"/>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52CA544A"/>
    <w:multiLevelType w:val="singleLevel"/>
    <w:tmpl w:val="FFFFFFFF"/>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6">
    <w:nsid w:val="5654259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5AA406E9"/>
    <w:multiLevelType w:val="multilevel"/>
    <w:tmpl w:val="569E7F68"/>
    <w:lvl w:ilvl="0">
      <w:start w:val="3"/>
      <w:numFmt w:val="decimal"/>
      <w:lvlText w:val="%1."/>
      <w:lvlJc w:val="left"/>
      <w:pPr>
        <w:ind w:left="360" w:hanging="360"/>
      </w:pPr>
      <w:rPr>
        <w:rFonts w:eastAsia="MS Mincho" w:hint="default"/>
        <w:b w:val="0"/>
        <w:sz w:val="20"/>
      </w:rPr>
    </w:lvl>
    <w:lvl w:ilvl="1">
      <w:start w:val="2"/>
      <w:numFmt w:val="decimal"/>
      <w:lvlText w:val="%1.%2."/>
      <w:lvlJc w:val="left"/>
      <w:pPr>
        <w:ind w:left="360" w:hanging="360"/>
      </w:pPr>
      <w:rPr>
        <w:rFonts w:eastAsia="MS Mincho" w:hint="default"/>
        <w:b/>
        <w:sz w:val="22"/>
      </w:rPr>
    </w:lvl>
    <w:lvl w:ilvl="2">
      <w:start w:val="1"/>
      <w:numFmt w:val="decimal"/>
      <w:lvlText w:val="%1.%2.%3."/>
      <w:lvlJc w:val="left"/>
      <w:pPr>
        <w:ind w:left="720" w:hanging="720"/>
      </w:pPr>
      <w:rPr>
        <w:rFonts w:eastAsia="MS Mincho" w:hint="default"/>
        <w:b w:val="0"/>
        <w:sz w:val="20"/>
      </w:rPr>
    </w:lvl>
    <w:lvl w:ilvl="3">
      <w:start w:val="1"/>
      <w:numFmt w:val="decimal"/>
      <w:lvlText w:val="%1.%2.%3.%4."/>
      <w:lvlJc w:val="left"/>
      <w:pPr>
        <w:ind w:left="720" w:hanging="720"/>
      </w:pPr>
      <w:rPr>
        <w:rFonts w:eastAsia="MS Mincho" w:hint="default"/>
        <w:b w:val="0"/>
        <w:sz w:val="20"/>
      </w:rPr>
    </w:lvl>
    <w:lvl w:ilvl="4">
      <w:start w:val="1"/>
      <w:numFmt w:val="decimal"/>
      <w:lvlText w:val="%1.%2.%3.%4.%5."/>
      <w:lvlJc w:val="left"/>
      <w:pPr>
        <w:ind w:left="1080" w:hanging="1080"/>
      </w:pPr>
      <w:rPr>
        <w:rFonts w:eastAsia="MS Mincho" w:hint="default"/>
        <w:b w:val="0"/>
        <w:sz w:val="20"/>
      </w:rPr>
    </w:lvl>
    <w:lvl w:ilvl="5">
      <w:start w:val="1"/>
      <w:numFmt w:val="decimal"/>
      <w:lvlText w:val="%1.%2.%3.%4.%5.%6."/>
      <w:lvlJc w:val="left"/>
      <w:pPr>
        <w:ind w:left="1080" w:hanging="1080"/>
      </w:pPr>
      <w:rPr>
        <w:rFonts w:eastAsia="MS Mincho" w:hint="default"/>
        <w:b w:val="0"/>
        <w:sz w:val="20"/>
      </w:rPr>
    </w:lvl>
    <w:lvl w:ilvl="6">
      <w:start w:val="1"/>
      <w:numFmt w:val="decimal"/>
      <w:lvlText w:val="%1.%2.%3.%4.%5.%6.%7."/>
      <w:lvlJc w:val="left"/>
      <w:pPr>
        <w:ind w:left="1440" w:hanging="1440"/>
      </w:pPr>
      <w:rPr>
        <w:rFonts w:eastAsia="MS Mincho" w:hint="default"/>
        <w:b w:val="0"/>
        <w:sz w:val="20"/>
      </w:rPr>
    </w:lvl>
    <w:lvl w:ilvl="7">
      <w:start w:val="1"/>
      <w:numFmt w:val="decimal"/>
      <w:lvlText w:val="%1.%2.%3.%4.%5.%6.%7.%8."/>
      <w:lvlJc w:val="left"/>
      <w:pPr>
        <w:ind w:left="1440" w:hanging="1440"/>
      </w:pPr>
      <w:rPr>
        <w:rFonts w:eastAsia="MS Mincho" w:hint="default"/>
        <w:b w:val="0"/>
        <w:sz w:val="20"/>
      </w:rPr>
    </w:lvl>
    <w:lvl w:ilvl="8">
      <w:start w:val="1"/>
      <w:numFmt w:val="decimal"/>
      <w:lvlText w:val="%1.%2.%3.%4.%5.%6.%7.%8.%9."/>
      <w:lvlJc w:val="left"/>
      <w:pPr>
        <w:ind w:left="1800" w:hanging="1800"/>
      </w:pPr>
      <w:rPr>
        <w:rFonts w:eastAsia="MS Mincho" w:hint="default"/>
        <w:b w:val="0"/>
        <w:sz w:val="20"/>
      </w:rPr>
    </w:lvl>
  </w:abstractNum>
  <w:abstractNum w:abstractNumId="18">
    <w:nsid w:val="64637827"/>
    <w:multiLevelType w:val="hybridMultilevel"/>
    <w:tmpl w:val="FFFFFFFF"/>
    <w:lvl w:ilvl="0" w:tplc="DE063496">
      <w:start w:val="1"/>
      <w:numFmt w:val="decimal"/>
      <w:pStyle w:val="Heading2"/>
      <w:lvlText w:val="3.%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8861DF9"/>
    <w:multiLevelType w:val="hybridMultilevel"/>
    <w:tmpl w:val="04F0BA02"/>
    <w:lvl w:ilvl="0" w:tplc="66D6A9C0">
      <w:start w:val="1"/>
      <w:numFmt w:val="upperLetter"/>
      <w:lvlText w:val="%1."/>
      <w:lvlJc w:val="left"/>
      <w:pPr>
        <w:ind w:left="1287" w:hanging="360"/>
      </w:pPr>
      <w:rPr>
        <w:rFonts w:asciiTheme="majorBidi" w:hAnsiTheme="majorBidi" w:cstheme="majorBidi" w:hint="default"/>
        <w:color w:val="auto"/>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
    <w:nsid w:val="6BAD1B8B"/>
    <w:multiLevelType w:val="hybridMultilevel"/>
    <w:tmpl w:val="FFFFFFFF"/>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nsid w:val="6C402C58"/>
    <w:multiLevelType w:val="hybridMultilevel"/>
    <w:tmpl w:val="FFFFFFFF"/>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6CD32DA8"/>
    <w:multiLevelType w:val="singleLevel"/>
    <w:tmpl w:val="FFFFFFFF"/>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16"/>
        <w:szCs w:val="16"/>
        <w:vertAlign w:val="baseline"/>
      </w:rPr>
    </w:lvl>
  </w:abstractNum>
  <w:abstractNum w:abstractNumId="23">
    <w:nsid w:val="7CD255F0"/>
    <w:multiLevelType w:val="hybridMultilevel"/>
    <w:tmpl w:val="FFFFFFFF"/>
    <w:lvl w:ilvl="0" w:tplc="BB425798">
      <w:start w:val="1"/>
      <w:numFmt w:val="lowerLetter"/>
      <w:pStyle w:val="tablefootnote"/>
      <w:lvlText w:val="%1."/>
      <w:lvlJc w:val="right"/>
      <w:pPr>
        <w:ind w:left="749" w:hanging="360"/>
      </w:pPr>
      <w:rPr>
        <w:rFonts w:ascii="Times New Roman" w:hAnsi="Times New Roman" w:cs="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rPr>
        <w:rFonts w:cs="Times New Roman"/>
      </w:rPr>
    </w:lvl>
    <w:lvl w:ilvl="2" w:tplc="0409001B" w:tentative="1">
      <w:start w:val="1"/>
      <w:numFmt w:val="lowerRoman"/>
      <w:lvlText w:val="%3."/>
      <w:lvlJc w:val="right"/>
      <w:pPr>
        <w:ind w:left="2189" w:hanging="180"/>
      </w:pPr>
      <w:rPr>
        <w:rFonts w:cs="Times New Roman"/>
      </w:rPr>
    </w:lvl>
    <w:lvl w:ilvl="3" w:tplc="0409000F" w:tentative="1">
      <w:start w:val="1"/>
      <w:numFmt w:val="decimal"/>
      <w:lvlText w:val="%4."/>
      <w:lvlJc w:val="left"/>
      <w:pPr>
        <w:ind w:left="2909" w:hanging="360"/>
      </w:pPr>
      <w:rPr>
        <w:rFonts w:cs="Times New Roman"/>
      </w:rPr>
    </w:lvl>
    <w:lvl w:ilvl="4" w:tplc="04090019" w:tentative="1">
      <w:start w:val="1"/>
      <w:numFmt w:val="lowerLetter"/>
      <w:lvlText w:val="%5."/>
      <w:lvlJc w:val="left"/>
      <w:pPr>
        <w:ind w:left="3629" w:hanging="360"/>
      </w:pPr>
      <w:rPr>
        <w:rFonts w:cs="Times New Roman"/>
      </w:rPr>
    </w:lvl>
    <w:lvl w:ilvl="5" w:tplc="0409001B" w:tentative="1">
      <w:start w:val="1"/>
      <w:numFmt w:val="lowerRoman"/>
      <w:lvlText w:val="%6."/>
      <w:lvlJc w:val="right"/>
      <w:pPr>
        <w:ind w:left="4349" w:hanging="180"/>
      </w:pPr>
      <w:rPr>
        <w:rFonts w:cs="Times New Roman"/>
      </w:rPr>
    </w:lvl>
    <w:lvl w:ilvl="6" w:tplc="0409000F" w:tentative="1">
      <w:start w:val="1"/>
      <w:numFmt w:val="decimal"/>
      <w:lvlText w:val="%7."/>
      <w:lvlJc w:val="left"/>
      <w:pPr>
        <w:ind w:left="5069" w:hanging="360"/>
      </w:pPr>
      <w:rPr>
        <w:rFonts w:cs="Times New Roman"/>
      </w:rPr>
    </w:lvl>
    <w:lvl w:ilvl="7" w:tplc="04090019" w:tentative="1">
      <w:start w:val="1"/>
      <w:numFmt w:val="lowerLetter"/>
      <w:lvlText w:val="%8."/>
      <w:lvlJc w:val="left"/>
      <w:pPr>
        <w:ind w:left="5789" w:hanging="360"/>
      </w:pPr>
      <w:rPr>
        <w:rFonts w:cs="Times New Roman"/>
      </w:rPr>
    </w:lvl>
    <w:lvl w:ilvl="8" w:tplc="0409001B" w:tentative="1">
      <w:start w:val="1"/>
      <w:numFmt w:val="lowerRoman"/>
      <w:lvlText w:val="%9."/>
      <w:lvlJc w:val="right"/>
      <w:pPr>
        <w:ind w:left="6509" w:hanging="180"/>
      </w:pPr>
      <w:rPr>
        <w:rFonts w:cs="Times New Roman"/>
      </w:rPr>
    </w:lvl>
  </w:abstractNum>
  <w:num w:numId="1">
    <w:abstractNumId w:val="9"/>
  </w:num>
  <w:num w:numId="2">
    <w:abstractNumId w:val="21"/>
  </w:num>
  <w:num w:numId="3">
    <w:abstractNumId w:val="11"/>
  </w:num>
  <w:num w:numId="4">
    <w:abstractNumId w:val="15"/>
  </w:num>
  <w:num w:numId="5">
    <w:abstractNumId w:val="22"/>
  </w:num>
  <w:num w:numId="6">
    <w:abstractNumId w:val="23"/>
  </w:num>
  <w:num w:numId="7">
    <w:abstractNumId w:val="5"/>
  </w:num>
  <w:num w:numId="8">
    <w:abstractNumId w:val="18"/>
  </w:num>
  <w:num w:numId="9">
    <w:abstractNumId w:val="18"/>
    <w:lvlOverride w:ilvl="0">
      <w:startOverride w:val="1"/>
    </w:lvlOverride>
  </w:num>
  <w:num w:numId="10">
    <w:abstractNumId w:val="14"/>
  </w:num>
  <w:num w:numId="11">
    <w:abstractNumId w:val="16"/>
  </w:num>
  <w:num w:numId="12">
    <w:abstractNumId w:val="4"/>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0"/>
  </w:num>
  <w:num w:numId="19">
    <w:abstractNumId w:val="12"/>
  </w:num>
  <w:num w:numId="20">
    <w:abstractNumId w:val="3"/>
  </w:num>
  <w:num w:numId="21">
    <w:abstractNumId w:val="8"/>
  </w:num>
  <w:num w:numId="22">
    <w:abstractNumId w:val="7"/>
  </w:num>
  <w:num w:numId="23">
    <w:abstractNumId w:val="19"/>
  </w:num>
  <w:num w:numId="24">
    <w:abstractNumId w:val="17"/>
  </w:num>
  <w:num w:numId="25">
    <w:abstractNumId w:val="11"/>
  </w:num>
  <w:num w:numId="26">
    <w:abstractNumId w:val="6"/>
  </w:num>
  <w:num w:numId="27">
    <w:abstractNumId w:val="11"/>
  </w:num>
  <w:num w:numId="28">
    <w:abstractNumId w:val="11"/>
  </w:num>
  <w:num w:numId="29">
    <w:abstractNumId w:val="13"/>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yNza0NLIwMjY1sbRU0lEKTi0uzszPAykwNK8FAPIh270tAAAA"/>
  </w:docVars>
  <w:rsids>
    <w:rsidRoot w:val="001D3718"/>
    <w:rsid w:val="00005466"/>
    <w:rsid w:val="00005C14"/>
    <w:rsid w:val="0001033C"/>
    <w:rsid w:val="00015765"/>
    <w:rsid w:val="0002055D"/>
    <w:rsid w:val="00024A44"/>
    <w:rsid w:val="00025785"/>
    <w:rsid w:val="00033F2E"/>
    <w:rsid w:val="000356E9"/>
    <w:rsid w:val="00037EAE"/>
    <w:rsid w:val="0004057D"/>
    <w:rsid w:val="00044CA8"/>
    <w:rsid w:val="000457D0"/>
    <w:rsid w:val="00054C0D"/>
    <w:rsid w:val="000575B3"/>
    <w:rsid w:val="000730A5"/>
    <w:rsid w:val="0007464A"/>
    <w:rsid w:val="0007604B"/>
    <w:rsid w:val="000905AA"/>
    <w:rsid w:val="000A3C92"/>
    <w:rsid w:val="000B6F8A"/>
    <w:rsid w:val="000D2FD1"/>
    <w:rsid w:val="000D3CBE"/>
    <w:rsid w:val="000D5424"/>
    <w:rsid w:val="000D74C9"/>
    <w:rsid w:val="000E1D58"/>
    <w:rsid w:val="000E676E"/>
    <w:rsid w:val="000F135C"/>
    <w:rsid w:val="00105BB9"/>
    <w:rsid w:val="001062A6"/>
    <w:rsid w:val="001202B1"/>
    <w:rsid w:val="00135B4D"/>
    <w:rsid w:val="001366C8"/>
    <w:rsid w:val="001379BD"/>
    <w:rsid w:val="00141E1E"/>
    <w:rsid w:val="00141E51"/>
    <w:rsid w:val="00142C0F"/>
    <w:rsid w:val="00146B2B"/>
    <w:rsid w:val="00161E06"/>
    <w:rsid w:val="001812B4"/>
    <w:rsid w:val="0018504E"/>
    <w:rsid w:val="001860DB"/>
    <w:rsid w:val="00195933"/>
    <w:rsid w:val="001979DB"/>
    <w:rsid w:val="001A3802"/>
    <w:rsid w:val="001A557D"/>
    <w:rsid w:val="001B289E"/>
    <w:rsid w:val="001C04C4"/>
    <w:rsid w:val="001C06A6"/>
    <w:rsid w:val="001C5C6A"/>
    <w:rsid w:val="001D3718"/>
    <w:rsid w:val="001D4870"/>
    <w:rsid w:val="001E398E"/>
    <w:rsid w:val="001E67C8"/>
    <w:rsid w:val="001F1BC9"/>
    <w:rsid w:val="00200EA9"/>
    <w:rsid w:val="00201F81"/>
    <w:rsid w:val="002057E5"/>
    <w:rsid w:val="002709E6"/>
    <w:rsid w:val="0027672B"/>
    <w:rsid w:val="00277EC0"/>
    <w:rsid w:val="00280B64"/>
    <w:rsid w:val="00295D1F"/>
    <w:rsid w:val="002B13D3"/>
    <w:rsid w:val="002D6C52"/>
    <w:rsid w:val="002E007F"/>
    <w:rsid w:val="002E2430"/>
    <w:rsid w:val="002E5395"/>
    <w:rsid w:val="002F659D"/>
    <w:rsid w:val="00302CF4"/>
    <w:rsid w:val="00305A23"/>
    <w:rsid w:val="00313BD4"/>
    <w:rsid w:val="003144A6"/>
    <w:rsid w:val="0031720F"/>
    <w:rsid w:val="003336AE"/>
    <w:rsid w:val="003338AE"/>
    <w:rsid w:val="0033405E"/>
    <w:rsid w:val="00343C8C"/>
    <w:rsid w:val="0036791F"/>
    <w:rsid w:val="0037382A"/>
    <w:rsid w:val="00376412"/>
    <w:rsid w:val="00386B43"/>
    <w:rsid w:val="003C692F"/>
    <w:rsid w:val="003C7559"/>
    <w:rsid w:val="003D0A3D"/>
    <w:rsid w:val="003D126F"/>
    <w:rsid w:val="003E54A5"/>
    <w:rsid w:val="003F1377"/>
    <w:rsid w:val="003F17AA"/>
    <w:rsid w:val="003F6D32"/>
    <w:rsid w:val="00411853"/>
    <w:rsid w:val="00424E6D"/>
    <w:rsid w:val="00442039"/>
    <w:rsid w:val="0045212E"/>
    <w:rsid w:val="00457FA5"/>
    <w:rsid w:val="004656D4"/>
    <w:rsid w:val="00465E46"/>
    <w:rsid w:val="00475E24"/>
    <w:rsid w:val="00476381"/>
    <w:rsid w:val="00492DC6"/>
    <w:rsid w:val="004A7A7E"/>
    <w:rsid w:val="004B3B92"/>
    <w:rsid w:val="004C2CF4"/>
    <w:rsid w:val="004C4F1F"/>
    <w:rsid w:val="004D3354"/>
    <w:rsid w:val="004D3498"/>
    <w:rsid w:val="004E0E3C"/>
    <w:rsid w:val="005064E2"/>
    <w:rsid w:val="0051227A"/>
    <w:rsid w:val="00512A3D"/>
    <w:rsid w:val="0051538F"/>
    <w:rsid w:val="005207F4"/>
    <w:rsid w:val="00525DAC"/>
    <w:rsid w:val="00527A05"/>
    <w:rsid w:val="00530B39"/>
    <w:rsid w:val="00530C05"/>
    <w:rsid w:val="00537B9A"/>
    <w:rsid w:val="005417FA"/>
    <w:rsid w:val="00542C87"/>
    <w:rsid w:val="00543EAF"/>
    <w:rsid w:val="00546791"/>
    <w:rsid w:val="00550791"/>
    <w:rsid w:val="00562C29"/>
    <w:rsid w:val="00564C97"/>
    <w:rsid w:val="005707EF"/>
    <w:rsid w:val="00571E71"/>
    <w:rsid w:val="00572EB9"/>
    <w:rsid w:val="005732B2"/>
    <w:rsid w:val="00581D0C"/>
    <w:rsid w:val="005876B3"/>
    <w:rsid w:val="005947E9"/>
    <w:rsid w:val="005A0AA3"/>
    <w:rsid w:val="005A57D0"/>
    <w:rsid w:val="005C2462"/>
    <w:rsid w:val="005E0682"/>
    <w:rsid w:val="005E2511"/>
    <w:rsid w:val="005E2CF0"/>
    <w:rsid w:val="005E300A"/>
    <w:rsid w:val="005E4E32"/>
    <w:rsid w:val="005E6139"/>
    <w:rsid w:val="005E7705"/>
    <w:rsid w:val="005F27D6"/>
    <w:rsid w:val="005F47CC"/>
    <w:rsid w:val="005F5E72"/>
    <w:rsid w:val="005F7B93"/>
    <w:rsid w:val="006000B2"/>
    <w:rsid w:val="0060651D"/>
    <w:rsid w:val="00607F93"/>
    <w:rsid w:val="00617001"/>
    <w:rsid w:val="00620770"/>
    <w:rsid w:val="0062177C"/>
    <w:rsid w:val="00634B17"/>
    <w:rsid w:val="00640952"/>
    <w:rsid w:val="006409EB"/>
    <w:rsid w:val="006419EF"/>
    <w:rsid w:val="00652478"/>
    <w:rsid w:val="0065280A"/>
    <w:rsid w:val="00653542"/>
    <w:rsid w:val="006621DE"/>
    <w:rsid w:val="006720CD"/>
    <w:rsid w:val="00677037"/>
    <w:rsid w:val="006832ED"/>
    <w:rsid w:val="00683DFA"/>
    <w:rsid w:val="00684FEA"/>
    <w:rsid w:val="00687DE8"/>
    <w:rsid w:val="00691C87"/>
    <w:rsid w:val="006A517A"/>
    <w:rsid w:val="006B23F2"/>
    <w:rsid w:val="006C7151"/>
    <w:rsid w:val="006D0C6B"/>
    <w:rsid w:val="006E71AD"/>
    <w:rsid w:val="00703BA5"/>
    <w:rsid w:val="00706E33"/>
    <w:rsid w:val="00715FB0"/>
    <w:rsid w:val="00723D58"/>
    <w:rsid w:val="007360C0"/>
    <w:rsid w:val="00747CEE"/>
    <w:rsid w:val="00755CE9"/>
    <w:rsid w:val="00756F93"/>
    <w:rsid w:val="0079054B"/>
    <w:rsid w:val="00794DA8"/>
    <w:rsid w:val="007A6115"/>
    <w:rsid w:val="007B2D50"/>
    <w:rsid w:val="007B4976"/>
    <w:rsid w:val="007B4CED"/>
    <w:rsid w:val="007C2D1F"/>
    <w:rsid w:val="007C7377"/>
    <w:rsid w:val="007D2186"/>
    <w:rsid w:val="007E3DB0"/>
    <w:rsid w:val="008000C2"/>
    <w:rsid w:val="00804C0C"/>
    <w:rsid w:val="00812FA6"/>
    <w:rsid w:val="008130EB"/>
    <w:rsid w:val="00815AC1"/>
    <w:rsid w:val="008163A1"/>
    <w:rsid w:val="008243F2"/>
    <w:rsid w:val="0083486C"/>
    <w:rsid w:val="00843DAE"/>
    <w:rsid w:val="008448AB"/>
    <w:rsid w:val="00847876"/>
    <w:rsid w:val="0085631F"/>
    <w:rsid w:val="00856998"/>
    <w:rsid w:val="0086355F"/>
    <w:rsid w:val="008719F3"/>
    <w:rsid w:val="008A6D0C"/>
    <w:rsid w:val="008D7EDA"/>
    <w:rsid w:val="008E6180"/>
    <w:rsid w:val="009175CF"/>
    <w:rsid w:val="00923AD2"/>
    <w:rsid w:val="00932269"/>
    <w:rsid w:val="00935D9A"/>
    <w:rsid w:val="00936C12"/>
    <w:rsid w:val="009512E7"/>
    <w:rsid w:val="0095677C"/>
    <w:rsid w:val="00957915"/>
    <w:rsid w:val="009615EE"/>
    <w:rsid w:val="009658B7"/>
    <w:rsid w:val="009976D6"/>
    <w:rsid w:val="009A1E62"/>
    <w:rsid w:val="009A6473"/>
    <w:rsid w:val="009B30CE"/>
    <w:rsid w:val="009C2430"/>
    <w:rsid w:val="009D10B1"/>
    <w:rsid w:val="009E25E9"/>
    <w:rsid w:val="009F0D26"/>
    <w:rsid w:val="00A01C0B"/>
    <w:rsid w:val="00A03FB9"/>
    <w:rsid w:val="00A108A5"/>
    <w:rsid w:val="00A12464"/>
    <w:rsid w:val="00A20999"/>
    <w:rsid w:val="00A25627"/>
    <w:rsid w:val="00A311B2"/>
    <w:rsid w:val="00A47977"/>
    <w:rsid w:val="00A70AF0"/>
    <w:rsid w:val="00A77C10"/>
    <w:rsid w:val="00A835D2"/>
    <w:rsid w:val="00A84B8C"/>
    <w:rsid w:val="00A86341"/>
    <w:rsid w:val="00A8701D"/>
    <w:rsid w:val="00A90C69"/>
    <w:rsid w:val="00A930CE"/>
    <w:rsid w:val="00AA146B"/>
    <w:rsid w:val="00AA6123"/>
    <w:rsid w:val="00AC0ABA"/>
    <w:rsid w:val="00AC4A4C"/>
    <w:rsid w:val="00AD7246"/>
    <w:rsid w:val="00AE19A6"/>
    <w:rsid w:val="00AE2FC2"/>
    <w:rsid w:val="00AE65A5"/>
    <w:rsid w:val="00AF0505"/>
    <w:rsid w:val="00AF074B"/>
    <w:rsid w:val="00AF0EBC"/>
    <w:rsid w:val="00AF7AD2"/>
    <w:rsid w:val="00B23FE5"/>
    <w:rsid w:val="00B261AC"/>
    <w:rsid w:val="00B3153F"/>
    <w:rsid w:val="00B3474F"/>
    <w:rsid w:val="00B47B8A"/>
    <w:rsid w:val="00B517C7"/>
    <w:rsid w:val="00B77D54"/>
    <w:rsid w:val="00BA5995"/>
    <w:rsid w:val="00BA7DEF"/>
    <w:rsid w:val="00BB139A"/>
    <w:rsid w:val="00BC53B2"/>
    <w:rsid w:val="00BD075E"/>
    <w:rsid w:val="00BF2872"/>
    <w:rsid w:val="00C00593"/>
    <w:rsid w:val="00C01A29"/>
    <w:rsid w:val="00C0267B"/>
    <w:rsid w:val="00C17D14"/>
    <w:rsid w:val="00C26555"/>
    <w:rsid w:val="00C33350"/>
    <w:rsid w:val="00C33C83"/>
    <w:rsid w:val="00C3540E"/>
    <w:rsid w:val="00C37320"/>
    <w:rsid w:val="00C3786C"/>
    <w:rsid w:val="00C410F3"/>
    <w:rsid w:val="00C4153E"/>
    <w:rsid w:val="00C41A9B"/>
    <w:rsid w:val="00C53B48"/>
    <w:rsid w:val="00C61423"/>
    <w:rsid w:val="00C6402F"/>
    <w:rsid w:val="00C7310A"/>
    <w:rsid w:val="00C7557D"/>
    <w:rsid w:val="00C82ABF"/>
    <w:rsid w:val="00C874D1"/>
    <w:rsid w:val="00C9172F"/>
    <w:rsid w:val="00CB2F34"/>
    <w:rsid w:val="00CB57DF"/>
    <w:rsid w:val="00CB75AA"/>
    <w:rsid w:val="00CC0995"/>
    <w:rsid w:val="00CD5EF6"/>
    <w:rsid w:val="00CF3AC2"/>
    <w:rsid w:val="00D0231A"/>
    <w:rsid w:val="00D03D05"/>
    <w:rsid w:val="00D11934"/>
    <w:rsid w:val="00D25BE5"/>
    <w:rsid w:val="00D30C86"/>
    <w:rsid w:val="00D37BC0"/>
    <w:rsid w:val="00D50B06"/>
    <w:rsid w:val="00D60ADF"/>
    <w:rsid w:val="00D621D9"/>
    <w:rsid w:val="00DA0E5E"/>
    <w:rsid w:val="00DB3BC5"/>
    <w:rsid w:val="00DC7A21"/>
    <w:rsid w:val="00DD3A85"/>
    <w:rsid w:val="00DD6111"/>
    <w:rsid w:val="00DD77C7"/>
    <w:rsid w:val="00DE7C4B"/>
    <w:rsid w:val="00E2100D"/>
    <w:rsid w:val="00E224B8"/>
    <w:rsid w:val="00E251B1"/>
    <w:rsid w:val="00E25CBE"/>
    <w:rsid w:val="00E32091"/>
    <w:rsid w:val="00E3427C"/>
    <w:rsid w:val="00E406A6"/>
    <w:rsid w:val="00E40712"/>
    <w:rsid w:val="00E42BA0"/>
    <w:rsid w:val="00E5012B"/>
    <w:rsid w:val="00E53CCE"/>
    <w:rsid w:val="00E759DF"/>
    <w:rsid w:val="00E77C6D"/>
    <w:rsid w:val="00E87541"/>
    <w:rsid w:val="00E90949"/>
    <w:rsid w:val="00E90BFD"/>
    <w:rsid w:val="00E923EF"/>
    <w:rsid w:val="00E92E97"/>
    <w:rsid w:val="00E95A00"/>
    <w:rsid w:val="00EA57BD"/>
    <w:rsid w:val="00EA5E7A"/>
    <w:rsid w:val="00EA6E86"/>
    <w:rsid w:val="00EB1676"/>
    <w:rsid w:val="00EB3C69"/>
    <w:rsid w:val="00EB4DD1"/>
    <w:rsid w:val="00EC3CED"/>
    <w:rsid w:val="00EE043E"/>
    <w:rsid w:val="00EF06E6"/>
    <w:rsid w:val="00EF4798"/>
    <w:rsid w:val="00EF5644"/>
    <w:rsid w:val="00EF568B"/>
    <w:rsid w:val="00EF76C5"/>
    <w:rsid w:val="00F04D1A"/>
    <w:rsid w:val="00F15426"/>
    <w:rsid w:val="00F1724E"/>
    <w:rsid w:val="00F2038A"/>
    <w:rsid w:val="00F23CA4"/>
    <w:rsid w:val="00F27436"/>
    <w:rsid w:val="00F31B1A"/>
    <w:rsid w:val="00F54852"/>
    <w:rsid w:val="00F6165F"/>
    <w:rsid w:val="00F63E66"/>
    <w:rsid w:val="00F719F2"/>
    <w:rsid w:val="00F74633"/>
    <w:rsid w:val="00F7617C"/>
    <w:rsid w:val="00F7624D"/>
    <w:rsid w:val="00F76EFB"/>
    <w:rsid w:val="00F773A6"/>
    <w:rsid w:val="00F80675"/>
    <w:rsid w:val="00F84FE9"/>
    <w:rsid w:val="00F87120"/>
    <w:rsid w:val="00F9465C"/>
    <w:rsid w:val="00FA7614"/>
    <w:rsid w:val="00FB194F"/>
    <w:rsid w:val="00FC28DA"/>
    <w:rsid w:val="00FD2CA1"/>
    <w:rsid w:val="00FD49A6"/>
    <w:rsid w:val="00FD4BAA"/>
    <w:rsid w:val="00FD4D2E"/>
    <w:rsid w:val="00FD76DB"/>
    <w:rsid w:val="00FE14FA"/>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A9BC65"/>
  <w14:defaultImageDpi w14:val="0"/>
  <w15:docId w15:val="{6B75EB1A-CC12-4DE6-92EE-221E91BC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ID" w:eastAsia="en-ID"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cs="Times New Roman"/>
      <w:sz w:val="22"/>
      <w:szCs w:val="22"/>
      <w:lang w:val="en-US" w:eastAsia="en-US"/>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5064E2"/>
    <w:pPr>
      <w:keepNext/>
      <w:keepLines/>
      <w:numPr>
        <w:numId w:val="8"/>
      </w:numPr>
      <w:tabs>
        <w:tab w:val="left" w:pos="454"/>
      </w:tabs>
      <w:spacing w:before="120" w:after="60" w:line="240" w:lineRule="auto"/>
      <w:outlineLvl w:val="1"/>
    </w:pPr>
    <w:rPr>
      <w:rFonts w:ascii="Times New Roman" w:eastAsia="MS Mincho" w:hAnsi="Times New Roman"/>
      <w:b/>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064E2"/>
    <w:rPr>
      <w:rFonts w:ascii="Times New Roman" w:eastAsia="MS Mincho" w:hAnsi="Times New Roman" w:cs="Times New Roman"/>
      <w:b/>
      <w:noProof/>
      <w:sz w:val="24"/>
    </w:rPr>
  </w:style>
  <w:style w:type="character" w:customStyle="1" w:styleId="Heading2Char">
    <w:name w:val="Heading 2 Char"/>
    <w:link w:val="Heading2"/>
    <w:uiPriority w:val="99"/>
    <w:locked/>
    <w:rsid w:val="005064E2"/>
    <w:rPr>
      <w:rFonts w:ascii="Times New Roman" w:eastAsia="MS Mincho" w:hAnsi="Times New Roman" w:cs="Times New Roman"/>
      <w:b/>
      <w:noProof/>
      <w:sz w:val="22"/>
    </w:rPr>
  </w:style>
  <w:style w:type="character" w:customStyle="1" w:styleId="Heading3Char">
    <w:name w:val="Heading 3 Char"/>
    <w:link w:val="Heading3"/>
    <w:uiPriority w:val="99"/>
    <w:locked/>
    <w:rsid w:val="00537B9A"/>
    <w:rPr>
      <w:rFonts w:ascii="Times New Roman" w:eastAsia="MS Mincho" w:hAnsi="Times New Roman" w:cs="Times New Roman"/>
      <w:i/>
      <w:noProof/>
      <w:sz w:val="20"/>
    </w:rPr>
  </w:style>
  <w:style w:type="character" w:customStyle="1" w:styleId="Heading4Char">
    <w:name w:val="Heading 4 Char"/>
    <w:link w:val="Heading4"/>
    <w:uiPriority w:val="99"/>
    <w:locked/>
    <w:rsid w:val="00537B9A"/>
    <w:rPr>
      <w:rFonts w:ascii="Times New Roman" w:eastAsia="MS Mincho" w:hAnsi="Times New Roman" w:cs="Times New Roman"/>
      <w:i/>
      <w:noProof/>
      <w:sz w:val="20"/>
    </w:rPr>
  </w:style>
  <w:style w:type="character" w:customStyle="1" w:styleId="Heading5Char">
    <w:name w:val="Heading 5 Char"/>
    <w:link w:val="Heading5"/>
    <w:uiPriority w:val="99"/>
    <w:locked/>
    <w:rsid w:val="005A57D0"/>
    <w:rPr>
      <w:rFonts w:ascii="Junicode" w:hAnsi="Junicode" w:cs="Times New Roman"/>
      <w:b/>
      <w:noProof/>
      <w:sz w:val="22"/>
    </w:rPr>
  </w:style>
  <w:style w:type="paragraph" w:customStyle="1" w:styleId="AuthorAffiliation">
    <w:name w:val="AuthorAffiliation"/>
    <w:next w:val="Normal"/>
    <w:rsid w:val="005064E2"/>
    <w:pPr>
      <w:suppressAutoHyphens/>
      <w:spacing w:line="200" w:lineRule="exact"/>
    </w:pPr>
    <w:rPr>
      <w:rFonts w:ascii="Times New Roman" w:eastAsia="SimSun" w:hAnsi="Times New Roman" w:cs="Times New Roman"/>
      <w:noProof/>
      <w:sz w:val="14"/>
      <w:lang w:val="en-US" w:eastAsia="en-US"/>
    </w:rPr>
  </w:style>
  <w:style w:type="paragraph" w:customStyle="1" w:styleId="Author">
    <w:name w:val="Author"/>
    <w:next w:val="Normal"/>
    <w:rsid w:val="005064E2"/>
    <w:pPr>
      <w:keepNext/>
      <w:suppressAutoHyphens/>
      <w:spacing w:after="160" w:line="300" w:lineRule="exact"/>
    </w:pPr>
    <w:rPr>
      <w:rFonts w:ascii="Times New Roman" w:eastAsia="SimSun" w:hAnsi="Times New Roman" w:cs="Times New Roman"/>
      <w:noProof/>
      <w:sz w:val="26"/>
      <w:lang w:val="en-US"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hAnsi="Calibri Light"/>
      <w:b/>
      <w:bCs/>
      <w:kern w:val="28"/>
      <w:sz w:val="32"/>
      <w:szCs w:val="32"/>
    </w:rPr>
  </w:style>
  <w:style w:type="character" w:customStyle="1" w:styleId="TitleChar">
    <w:name w:val="Title Char"/>
    <w:aliases w:val="notused Char"/>
    <w:link w:val="Title"/>
    <w:uiPriority w:val="10"/>
    <w:locked/>
    <w:rsid w:val="007C7377"/>
    <w:rPr>
      <w:rFonts w:ascii="Calibri Light" w:hAnsi="Calibri Light" w:cs="Times New Roman"/>
      <w:b/>
      <w:kern w:val="28"/>
      <w:sz w:val="32"/>
    </w:rPr>
  </w:style>
  <w:style w:type="paragraph" w:customStyle="1" w:styleId="Titlebesture">
    <w:name w:val="Title besture"/>
    <w:next w:val="Author"/>
    <w:autoRedefine/>
    <w:rsid w:val="0045212E"/>
    <w:pPr>
      <w:suppressAutoHyphens/>
      <w:spacing w:before="360" w:after="240" w:line="400" w:lineRule="exact"/>
      <w:jc w:val="both"/>
    </w:pPr>
    <w:rPr>
      <w:rFonts w:ascii="Times New Roman" w:eastAsia="SimSun" w:hAnsi="Times New Roman" w:cs="Times New Roman"/>
      <w:b/>
      <w:sz w:val="34"/>
      <w:lang w:val="en-US" w:eastAsia="en-US"/>
    </w:rPr>
  </w:style>
  <w:style w:type="paragraph" w:customStyle="1" w:styleId="AbstractHead">
    <w:name w:val="AbstractHead"/>
    <w:rsid w:val="005064E2"/>
    <w:rPr>
      <w:rFonts w:ascii="Times New Roman" w:hAnsi="Times New Roman" w:cs="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hAnsi="Times New Roman" w:cs="Times New Roman"/>
      <w:lang w:val="en" w:eastAsia="en-US"/>
    </w:rPr>
  </w:style>
  <w:style w:type="paragraph" w:customStyle="1" w:styleId="Articlehistory">
    <w:name w:val="Articlehistory"/>
    <w:rsid w:val="00D621D9"/>
    <w:pPr>
      <w:spacing w:line="200" w:lineRule="exact"/>
    </w:pPr>
    <w:rPr>
      <w:rFonts w:ascii="Ebrima" w:hAnsi="Ebrima" w:cs="Times New Roman"/>
      <w:sz w:val="14"/>
      <w:lang w:val="en-US" w:eastAsia="en-US"/>
    </w:rPr>
  </w:style>
  <w:style w:type="paragraph" w:customStyle="1" w:styleId="ArticleinfoHead">
    <w:name w:val="ArticleinfoHead"/>
    <w:rsid w:val="005064E2"/>
    <w:rPr>
      <w:rFonts w:ascii="Times New Roman" w:hAnsi="Times New Roman" w:cs="Times New Roman"/>
      <w:smallCaps/>
      <w:spacing w:val="24"/>
      <w:sz w:val="18"/>
      <w:lang w:val="en-US" w:eastAsia="en-US"/>
    </w:rPr>
  </w:style>
  <w:style w:type="paragraph" w:customStyle="1" w:styleId="Keyword">
    <w:name w:val="Keyword"/>
    <w:rsid w:val="00D621D9"/>
    <w:pPr>
      <w:spacing w:line="200" w:lineRule="exact"/>
    </w:pPr>
    <w:rPr>
      <w:rFonts w:ascii="Ebrima" w:hAnsi="Ebrima" w:cs="Times New Roman"/>
      <w:sz w:val="14"/>
      <w:lang w:val="en-US" w:eastAsia="en-US"/>
    </w:rPr>
  </w:style>
  <w:style w:type="paragraph" w:customStyle="1" w:styleId="KeywordHead">
    <w:name w:val="KeywordHead"/>
    <w:next w:val="Keyword"/>
    <w:rsid w:val="005A57D0"/>
    <w:pPr>
      <w:spacing w:line="200" w:lineRule="exact"/>
    </w:pPr>
    <w:rPr>
      <w:rFonts w:ascii="Junicode" w:hAnsi="Junicode" w:cs="Times New Roman"/>
      <w:i/>
      <w:noProof/>
      <w:sz w:val="18"/>
      <w:lang w:val="en-US" w:eastAsia="en-US"/>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locked/>
    <w:rsid w:val="005064E2"/>
    <w:rPr>
      <w:rFonts w:ascii="Times New Roman" w:eastAsia="MS Mincho" w:hAnsi="Times New Roman" w:cs="Times New Roman"/>
      <w:sz w:val="22"/>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hAnsi="Symbol" w:cs="Symbol"/>
      <w:sz w:val="20"/>
      <w:szCs w:val="20"/>
    </w:rPr>
  </w:style>
  <w:style w:type="paragraph" w:customStyle="1" w:styleId="figurecaption">
    <w:name w:val="figure caption"/>
    <w:rsid w:val="000A3C92"/>
    <w:pPr>
      <w:numPr>
        <w:numId w:val="2"/>
      </w:numPr>
      <w:tabs>
        <w:tab w:val="left" w:pos="533"/>
      </w:tabs>
      <w:spacing w:before="80" w:after="200"/>
      <w:ind w:left="680" w:hanging="680"/>
      <w:jc w:val="center"/>
    </w:pPr>
    <w:rPr>
      <w:rFonts w:ascii="Junicode" w:hAnsi="Junicode" w:cs="Times New Roman"/>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hAnsi="Times New Roman" w:cs="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hAnsi="Times New Roman" w:cs="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hAnsi="Junicode" w:cs="Times New Roman"/>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cs="Times New Roman"/>
      <w:sz w:val="16"/>
      <w:szCs w:val="12"/>
      <w:lang w:val="en-US" w:eastAsia="en-US"/>
    </w:rPr>
  </w:style>
  <w:style w:type="paragraph" w:customStyle="1" w:styleId="tablehead">
    <w:name w:val="table head"/>
    <w:uiPriority w:val="99"/>
    <w:rsid w:val="001A3802"/>
    <w:pPr>
      <w:numPr>
        <w:numId w:val="5"/>
      </w:numPr>
      <w:spacing w:before="240" w:after="120"/>
      <w:ind w:left="737" w:hanging="737"/>
      <w:jc w:val="center"/>
    </w:pPr>
    <w:rPr>
      <w:rFonts w:ascii="Junicode" w:hAnsi="Junicode" w:cs="Times New Roman"/>
      <w:noProof/>
      <w:szCs w:val="16"/>
      <w:lang w:val="en-US" w:eastAsia="en-US"/>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locked/>
    <w:rsid w:val="005064E2"/>
    <w:rPr>
      <w:rFonts w:ascii="Times New Roman" w:hAnsi="Times New Roman" w:cs="Times New Roman"/>
      <w:sz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locked/>
    <w:rsid w:val="00F1724E"/>
    <w:rPr>
      <w:rFonts w:ascii="Times New Roman" w:hAnsi="Times New Roman" w:cs="Times New Roman"/>
      <w:sz w:val="22"/>
    </w:rPr>
  </w:style>
  <w:style w:type="character" w:styleId="Hyperlink">
    <w:name w:val="Hyperlink"/>
    <w:uiPriority w:val="99"/>
    <w:unhideWhenUsed/>
    <w:rsid w:val="00A25627"/>
    <w:rPr>
      <w:rFonts w:cs="Times New Roman"/>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hAnsi="Times New Roman" w:cs="Times New Roman"/>
      <w:lang w:val="en-US" w:eastAsia="en-US"/>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customStyle="1" w:styleId="UnresolvedMention">
    <w:name w:val="Unresolved Mention"/>
    <w:uiPriority w:val="99"/>
    <w:semiHidden/>
    <w:unhideWhenUsed/>
    <w:rsid w:val="001E67C8"/>
    <w:rPr>
      <w:rFonts w:cs="Times New Roman"/>
      <w:color w:val="605E5C"/>
      <w:shd w:val="clear" w:color="auto" w:fill="E1DFDD"/>
    </w:rPr>
  </w:style>
  <w:style w:type="paragraph" w:styleId="NormalWeb">
    <w:name w:val="Normal (Web)"/>
    <w:basedOn w:val="Normal"/>
    <w:uiPriority w:val="99"/>
    <w:unhideWhenUsed/>
    <w:rsid w:val="004E0E3C"/>
    <w:pPr>
      <w:spacing w:before="100" w:beforeAutospacing="1" w:after="100" w:afterAutospacing="1" w:line="240" w:lineRule="auto"/>
    </w:pPr>
    <w:rPr>
      <w:rFonts w:ascii="Times New Roman" w:hAnsi="Times New Roman"/>
      <w:sz w:val="24"/>
      <w:szCs w:val="24"/>
      <w:lang w:val="id-ID" w:eastAsia="id-ID"/>
    </w:rPr>
  </w:style>
  <w:style w:type="character" w:styleId="FollowedHyperlink">
    <w:name w:val="FollowedHyperlink"/>
    <w:uiPriority w:val="99"/>
    <w:unhideWhenUsed/>
    <w:rsid w:val="007C2D1F"/>
    <w:rPr>
      <w:rFonts w:cs="Times New Roman"/>
      <w:color w:val="954F72"/>
      <w:u w:val="single"/>
    </w:rPr>
  </w:style>
  <w:style w:type="paragraph" w:styleId="ListParagraph">
    <w:name w:val="List Paragraph"/>
    <w:basedOn w:val="Normal"/>
    <w:link w:val="ListParagraphChar"/>
    <w:uiPriority w:val="34"/>
    <w:qFormat/>
    <w:rsid w:val="00054C0D"/>
    <w:pPr>
      <w:spacing w:after="0" w:line="240" w:lineRule="auto"/>
      <w:ind w:left="720"/>
      <w:contextualSpacing/>
    </w:pPr>
    <w:rPr>
      <w:rFonts w:ascii="Times New Roman" w:eastAsia="Batang" w:hAnsi="Times New Roman"/>
      <w:sz w:val="24"/>
      <w:szCs w:val="24"/>
      <w:lang w:eastAsia="ko-KR"/>
    </w:rPr>
  </w:style>
  <w:style w:type="character" w:styleId="FootnoteReference">
    <w:name w:val="footnote reference"/>
    <w:uiPriority w:val="99"/>
    <w:rsid w:val="00054C0D"/>
    <w:rPr>
      <w:rFonts w:cs="Times New Roman"/>
      <w:vertAlign w:val="superscript"/>
    </w:rPr>
  </w:style>
  <w:style w:type="paragraph" w:styleId="FootnoteText">
    <w:name w:val="footnote text"/>
    <w:basedOn w:val="Normal"/>
    <w:link w:val="FootnoteTextChar"/>
    <w:uiPriority w:val="99"/>
    <w:unhideWhenUsed/>
    <w:rsid w:val="003336AE"/>
    <w:rPr>
      <w:sz w:val="20"/>
      <w:szCs w:val="20"/>
    </w:rPr>
  </w:style>
  <w:style w:type="character" w:customStyle="1" w:styleId="FootnoteTextChar">
    <w:name w:val="Footnote Text Char"/>
    <w:link w:val="FootnoteText"/>
    <w:uiPriority w:val="99"/>
    <w:locked/>
    <w:rsid w:val="003336AE"/>
    <w:rPr>
      <w:rFonts w:cs="Times New Roman"/>
      <w:lang w:val="en-US" w:eastAsia="en-US"/>
    </w:rPr>
  </w:style>
  <w:style w:type="character" w:styleId="Strong">
    <w:name w:val="Strong"/>
    <w:uiPriority w:val="22"/>
    <w:qFormat/>
    <w:rsid w:val="00280B64"/>
    <w:rPr>
      <w:rFonts w:cs="Times New Roman"/>
      <w:b/>
    </w:rPr>
  </w:style>
  <w:style w:type="character" w:styleId="Emphasis">
    <w:name w:val="Emphasis"/>
    <w:uiPriority w:val="20"/>
    <w:qFormat/>
    <w:rsid w:val="00E2100D"/>
    <w:rPr>
      <w:i/>
      <w:iCs/>
    </w:rPr>
  </w:style>
  <w:style w:type="character" w:customStyle="1" w:styleId="ListParagraphChar">
    <w:name w:val="List Paragraph Char"/>
    <w:link w:val="ListParagraph"/>
    <w:uiPriority w:val="34"/>
    <w:qFormat/>
    <w:rsid w:val="00C26555"/>
    <w:rPr>
      <w:rFonts w:ascii="Times New Roman" w:eastAsia="Batang" w:hAnsi="Times New Roman" w:cs="Times New Roman"/>
      <w:sz w:val="24"/>
      <w:szCs w:val="24"/>
      <w:lang w:val="en-US" w:eastAsia="ko-KR"/>
    </w:rPr>
  </w:style>
  <w:style w:type="character" w:customStyle="1" w:styleId="overflow-hidden">
    <w:name w:val="overflow-hidden"/>
    <w:rsid w:val="002E0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5699">
      <w:bodyDiv w:val="1"/>
      <w:marLeft w:val="0"/>
      <w:marRight w:val="0"/>
      <w:marTop w:val="0"/>
      <w:marBottom w:val="0"/>
      <w:divBdr>
        <w:top w:val="none" w:sz="0" w:space="0" w:color="auto"/>
        <w:left w:val="none" w:sz="0" w:space="0" w:color="auto"/>
        <w:bottom w:val="none" w:sz="0" w:space="0" w:color="auto"/>
        <w:right w:val="none" w:sz="0" w:space="0" w:color="auto"/>
      </w:divBdr>
      <w:divsChild>
        <w:div w:id="720206552">
          <w:marLeft w:val="0"/>
          <w:marRight w:val="0"/>
          <w:marTop w:val="0"/>
          <w:marBottom w:val="0"/>
          <w:divBdr>
            <w:top w:val="none" w:sz="0" w:space="0" w:color="auto"/>
            <w:left w:val="none" w:sz="0" w:space="0" w:color="auto"/>
            <w:bottom w:val="none" w:sz="0" w:space="0" w:color="auto"/>
            <w:right w:val="none" w:sz="0" w:space="0" w:color="auto"/>
          </w:divBdr>
          <w:divsChild>
            <w:div w:id="837620852">
              <w:marLeft w:val="0"/>
              <w:marRight w:val="0"/>
              <w:marTop w:val="0"/>
              <w:marBottom w:val="0"/>
              <w:divBdr>
                <w:top w:val="none" w:sz="0" w:space="0" w:color="auto"/>
                <w:left w:val="none" w:sz="0" w:space="0" w:color="auto"/>
                <w:bottom w:val="none" w:sz="0" w:space="0" w:color="auto"/>
                <w:right w:val="none" w:sz="0" w:space="0" w:color="auto"/>
              </w:divBdr>
              <w:divsChild>
                <w:div w:id="468858608">
                  <w:marLeft w:val="0"/>
                  <w:marRight w:val="0"/>
                  <w:marTop w:val="0"/>
                  <w:marBottom w:val="0"/>
                  <w:divBdr>
                    <w:top w:val="none" w:sz="0" w:space="0" w:color="auto"/>
                    <w:left w:val="none" w:sz="0" w:space="0" w:color="auto"/>
                    <w:bottom w:val="none" w:sz="0" w:space="0" w:color="auto"/>
                    <w:right w:val="none" w:sz="0" w:space="0" w:color="auto"/>
                  </w:divBdr>
                  <w:divsChild>
                    <w:div w:id="19183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05673">
          <w:marLeft w:val="0"/>
          <w:marRight w:val="0"/>
          <w:marTop w:val="0"/>
          <w:marBottom w:val="0"/>
          <w:divBdr>
            <w:top w:val="none" w:sz="0" w:space="0" w:color="auto"/>
            <w:left w:val="none" w:sz="0" w:space="0" w:color="auto"/>
            <w:bottom w:val="none" w:sz="0" w:space="0" w:color="auto"/>
            <w:right w:val="none" w:sz="0" w:space="0" w:color="auto"/>
          </w:divBdr>
          <w:divsChild>
            <w:div w:id="1195268594">
              <w:marLeft w:val="0"/>
              <w:marRight w:val="0"/>
              <w:marTop w:val="0"/>
              <w:marBottom w:val="0"/>
              <w:divBdr>
                <w:top w:val="none" w:sz="0" w:space="0" w:color="auto"/>
                <w:left w:val="none" w:sz="0" w:space="0" w:color="auto"/>
                <w:bottom w:val="none" w:sz="0" w:space="0" w:color="auto"/>
                <w:right w:val="none" w:sz="0" w:space="0" w:color="auto"/>
              </w:divBdr>
              <w:divsChild>
                <w:div w:id="1981105616">
                  <w:marLeft w:val="0"/>
                  <w:marRight w:val="0"/>
                  <w:marTop w:val="0"/>
                  <w:marBottom w:val="0"/>
                  <w:divBdr>
                    <w:top w:val="none" w:sz="0" w:space="0" w:color="auto"/>
                    <w:left w:val="none" w:sz="0" w:space="0" w:color="auto"/>
                    <w:bottom w:val="none" w:sz="0" w:space="0" w:color="auto"/>
                    <w:right w:val="none" w:sz="0" w:space="0" w:color="auto"/>
                  </w:divBdr>
                  <w:divsChild>
                    <w:div w:id="1469130007">
                      <w:marLeft w:val="0"/>
                      <w:marRight w:val="0"/>
                      <w:marTop w:val="0"/>
                      <w:marBottom w:val="0"/>
                      <w:divBdr>
                        <w:top w:val="none" w:sz="0" w:space="0" w:color="auto"/>
                        <w:left w:val="none" w:sz="0" w:space="0" w:color="auto"/>
                        <w:bottom w:val="none" w:sz="0" w:space="0" w:color="auto"/>
                        <w:right w:val="none" w:sz="0" w:space="0" w:color="auto"/>
                      </w:divBdr>
                      <w:divsChild>
                        <w:div w:id="16724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85209">
      <w:bodyDiv w:val="1"/>
      <w:marLeft w:val="0"/>
      <w:marRight w:val="0"/>
      <w:marTop w:val="0"/>
      <w:marBottom w:val="0"/>
      <w:divBdr>
        <w:top w:val="none" w:sz="0" w:space="0" w:color="auto"/>
        <w:left w:val="none" w:sz="0" w:space="0" w:color="auto"/>
        <w:bottom w:val="none" w:sz="0" w:space="0" w:color="auto"/>
        <w:right w:val="none" w:sz="0" w:space="0" w:color="auto"/>
      </w:divBdr>
    </w:div>
    <w:div w:id="114951667">
      <w:bodyDiv w:val="1"/>
      <w:marLeft w:val="0"/>
      <w:marRight w:val="0"/>
      <w:marTop w:val="0"/>
      <w:marBottom w:val="0"/>
      <w:divBdr>
        <w:top w:val="none" w:sz="0" w:space="0" w:color="auto"/>
        <w:left w:val="none" w:sz="0" w:space="0" w:color="auto"/>
        <w:bottom w:val="none" w:sz="0" w:space="0" w:color="auto"/>
        <w:right w:val="none" w:sz="0" w:space="0" w:color="auto"/>
      </w:divBdr>
    </w:div>
    <w:div w:id="219635813">
      <w:bodyDiv w:val="1"/>
      <w:marLeft w:val="0"/>
      <w:marRight w:val="0"/>
      <w:marTop w:val="0"/>
      <w:marBottom w:val="0"/>
      <w:divBdr>
        <w:top w:val="none" w:sz="0" w:space="0" w:color="auto"/>
        <w:left w:val="none" w:sz="0" w:space="0" w:color="auto"/>
        <w:bottom w:val="none" w:sz="0" w:space="0" w:color="auto"/>
        <w:right w:val="none" w:sz="0" w:space="0" w:color="auto"/>
      </w:divBdr>
    </w:div>
    <w:div w:id="342632534">
      <w:bodyDiv w:val="1"/>
      <w:marLeft w:val="0"/>
      <w:marRight w:val="0"/>
      <w:marTop w:val="0"/>
      <w:marBottom w:val="0"/>
      <w:divBdr>
        <w:top w:val="none" w:sz="0" w:space="0" w:color="auto"/>
        <w:left w:val="none" w:sz="0" w:space="0" w:color="auto"/>
        <w:bottom w:val="none" w:sz="0" w:space="0" w:color="auto"/>
        <w:right w:val="none" w:sz="0" w:space="0" w:color="auto"/>
      </w:divBdr>
    </w:div>
    <w:div w:id="415782185">
      <w:bodyDiv w:val="1"/>
      <w:marLeft w:val="0"/>
      <w:marRight w:val="0"/>
      <w:marTop w:val="0"/>
      <w:marBottom w:val="0"/>
      <w:divBdr>
        <w:top w:val="none" w:sz="0" w:space="0" w:color="auto"/>
        <w:left w:val="none" w:sz="0" w:space="0" w:color="auto"/>
        <w:bottom w:val="none" w:sz="0" w:space="0" w:color="auto"/>
        <w:right w:val="none" w:sz="0" w:space="0" w:color="auto"/>
      </w:divBdr>
    </w:div>
    <w:div w:id="493451057">
      <w:bodyDiv w:val="1"/>
      <w:marLeft w:val="0"/>
      <w:marRight w:val="0"/>
      <w:marTop w:val="0"/>
      <w:marBottom w:val="0"/>
      <w:divBdr>
        <w:top w:val="none" w:sz="0" w:space="0" w:color="auto"/>
        <w:left w:val="none" w:sz="0" w:space="0" w:color="auto"/>
        <w:bottom w:val="none" w:sz="0" w:space="0" w:color="auto"/>
        <w:right w:val="none" w:sz="0" w:space="0" w:color="auto"/>
      </w:divBdr>
    </w:div>
    <w:div w:id="1042023375">
      <w:bodyDiv w:val="1"/>
      <w:marLeft w:val="0"/>
      <w:marRight w:val="0"/>
      <w:marTop w:val="0"/>
      <w:marBottom w:val="0"/>
      <w:divBdr>
        <w:top w:val="none" w:sz="0" w:space="0" w:color="auto"/>
        <w:left w:val="none" w:sz="0" w:space="0" w:color="auto"/>
        <w:bottom w:val="none" w:sz="0" w:space="0" w:color="auto"/>
        <w:right w:val="none" w:sz="0" w:space="0" w:color="auto"/>
      </w:divBdr>
    </w:div>
    <w:div w:id="1087385244">
      <w:bodyDiv w:val="1"/>
      <w:marLeft w:val="0"/>
      <w:marRight w:val="0"/>
      <w:marTop w:val="0"/>
      <w:marBottom w:val="0"/>
      <w:divBdr>
        <w:top w:val="none" w:sz="0" w:space="0" w:color="auto"/>
        <w:left w:val="none" w:sz="0" w:space="0" w:color="auto"/>
        <w:bottom w:val="none" w:sz="0" w:space="0" w:color="auto"/>
        <w:right w:val="none" w:sz="0" w:space="0" w:color="auto"/>
      </w:divBdr>
    </w:div>
    <w:div w:id="1103645928">
      <w:bodyDiv w:val="1"/>
      <w:marLeft w:val="0"/>
      <w:marRight w:val="0"/>
      <w:marTop w:val="0"/>
      <w:marBottom w:val="0"/>
      <w:divBdr>
        <w:top w:val="none" w:sz="0" w:space="0" w:color="auto"/>
        <w:left w:val="none" w:sz="0" w:space="0" w:color="auto"/>
        <w:bottom w:val="none" w:sz="0" w:space="0" w:color="auto"/>
        <w:right w:val="none" w:sz="0" w:space="0" w:color="auto"/>
      </w:divBdr>
    </w:div>
    <w:div w:id="1109349505">
      <w:bodyDiv w:val="1"/>
      <w:marLeft w:val="0"/>
      <w:marRight w:val="0"/>
      <w:marTop w:val="0"/>
      <w:marBottom w:val="0"/>
      <w:divBdr>
        <w:top w:val="none" w:sz="0" w:space="0" w:color="auto"/>
        <w:left w:val="none" w:sz="0" w:space="0" w:color="auto"/>
        <w:bottom w:val="none" w:sz="0" w:space="0" w:color="auto"/>
        <w:right w:val="none" w:sz="0" w:space="0" w:color="auto"/>
      </w:divBdr>
    </w:div>
    <w:div w:id="1143961261">
      <w:bodyDiv w:val="1"/>
      <w:marLeft w:val="0"/>
      <w:marRight w:val="0"/>
      <w:marTop w:val="0"/>
      <w:marBottom w:val="0"/>
      <w:divBdr>
        <w:top w:val="none" w:sz="0" w:space="0" w:color="auto"/>
        <w:left w:val="none" w:sz="0" w:space="0" w:color="auto"/>
        <w:bottom w:val="none" w:sz="0" w:space="0" w:color="auto"/>
        <w:right w:val="none" w:sz="0" w:space="0" w:color="auto"/>
      </w:divBdr>
    </w:div>
    <w:div w:id="1402676332">
      <w:bodyDiv w:val="1"/>
      <w:marLeft w:val="0"/>
      <w:marRight w:val="0"/>
      <w:marTop w:val="0"/>
      <w:marBottom w:val="0"/>
      <w:divBdr>
        <w:top w:val="none" w:sz="0" w:space="0" w:color="auto"/>
        <w:left w:val="none" w:sz="0" w:space="0" w:color="auto"/>
        <w:bottom w:val="none" w:sz="0" w:space="0" w:color="auto"/>
        <w:right w:val="none" w:sz="0" w:space="0" w:color="auto"/>
      </w:divBdr>
    </w:div>
    <w:div w:id="1493835618">
      <w:bodyDiv w:val="1"/>
      <w:marLeft w:val="0"/>
      <w:marRight w:val="0"/>
      <w:marTop w:val="0"/>
      <w:marBottom w:val="0"/>
      <w:divBdr>
        <w:top w:val="none" w:sz="0" w:space="0" w:color="auto"/>
        <w:left w:val="none" w:sz="0" w:space="0" w:color="auto"/>
        <w:bottom w:val="none" w:sz="0" w:space="0" w:color="auto"/>
        <w:right w:val="none" w:sz="0" w:space="0" w:color="auto"/>
      </w:divBdr>
    </w:div>
    <w:div w:id="1557934018">
      <w:bodyDiv w:val="1"/>
      <w:marLeft w:val="0"/>
      <w:marRight w:val="0"/>
      <w:marTop w:val="0"/>
      <w:marBottom w:val="0"/>
      <w:divBdr>
        <w:top w:val="none" w:sz="0" w:space="0" w:color="auto"/>
        <w:left w:val="none" w:sz="0" w:space="0" w:color="auto"/>
        <w:bottom w:val="none" w:sz="0" w:space="0" w:color="auto"/>
        <w:right w:val="none" w:sz="0" w:space="0" w:color="auto"/>
      </w:divBdr>
    </w:div>
    <w:div w:id="1592543508">
      <w:bodyDiv w:val="1"/>
      <w:marLeft w:val="0"/>
      <w:marRight w:val="0"/>
      <w:marTop w:val="0"/>
      <w:marBottom w:val="0"/>
      <w:divBdr>
        <w:top w:val="none" w:sz="0" w:space="0" w:color="auto"/>
        <w:left w:val="none" w:sz="0" w:space="0" w:color="auto"/>
        <w:bottom w:val="none" w:sz="0" w:space="0" w:color="auto"/>
        <w:right w:val="none" w:sz="0" w:space="0" w:color="auto"/>
      </w:divBdr>
    </w:div>
    <w:div w:id="1618682215">
      <w:bodyDiv w:val="1"/>
      <w:marLeft w:val="0"/>
      <w:marRight w:val="0"/>
      <w:marTop w:val="0"/>
      <w:marBottom w:val="0"/>
      <w:divBdr>
        <w:top w:val="none" w:sz="0" w:space="0" w:color="auto"/>
        <w:left w:val="none" w:sz="0" w:space="0" w:color="auto"/>
        <w:bottom w:val="none" w:sz="0" w:space="0" w:color="auto"/>
        <w:right w:val="none" w:sz="0" w:space="0" w:color="auto"/>
      </w:divBdr>
    </w:div>
    <w:div w:id="1778062031">
      <w:bodyDiv w:val="1"/>
      <w:marLeft w:val="0"/>
      <w:marRight w:val="0"/>
      <w:marTop w:val="0"/>
      <w:marBottom w:val="0"/>
      <w:divBdr>
        <w:top w:val="none" w:sz="0" w:space="0" w:color="auto"/>
        <w:left w:val="none" w:sz="0" w:space="0" w:color="auto"/>
        <w:bottom w:val="none" w:sz="0" w:space="0" w:color="auto"/>
        <w:right w:val="none" w:sz="0" w:space="0" w:color="auto"/>
      </w:divBdr>
    </w:div>
    <w:div w:id="1791823451">
      <w:bodyDiv w:val="1"/>
      <w:marLeft w:val="0"/>
      <w:marRight w:val="0"/>
      <w:marTop w:val="0"/>
      <w:marBottom w:val="0"/>
      <w:divBdr>
        <w:top w:val="none" w:sz="0" w:space="0" w:color="auto"/>
        <w:left w:val="none" w:sz="0" w:space="0" w:color="auto"/>
        <w:bottom w:val="none" w:sz="0" w:space="0" w:color="auto"/>
        <w:right w:val="none" w:sz="0" w:space="0" w:color="auto"/>
      </w:divBdr>
    </w:div>
    <w:div w:id="1818842412">
      <w:bodyDiv w:val="1"/>
      <w:marLeft w:val="0"/>
      <w:marRight w:val="0"/>
      <w:marTop w:val="0"/>
      <w:marBottom w:val="0"/>
      <w:divBdr>
        <w:top w:val="none" w:sz="0" w:space="0" w:color="auto"/>
        <w:left w:val="none" w:sz="0" w:space="0" w:color="auto"/>
        <w:bottom w:val="none" w:sz="0" w:space="0" w:color="auto"/>
        <w:right w:val="none" w:sz="0" w:space="0" w:color="auto"/>
      </w:divBdr>
    </w:div>
    <w:div w:id="1876230184">
      <w:bodyDiv w:val="1"/>
      <w:marLeft w:val="0"/>
      <w:marRight w:val="0"/>
      <w:marTop w:val="0"/>
      <w:marBottom w:val="0"/>
      <w:divBdr>
        <w:top w:val="none" w:sz="0" w:space="0" w:color="auto"/>
        <w:left w:val="none" w:sz="0" w:space="0" w:color="auto"/>
        <w:bottom w:val="none" w:sz="0" w:space="0" w:color="auto"/>
        <w:right w:val="none" w:sz="0" w:space="0" w:color="auto"/>
      </w:divBdr>
    </w:div>
    <w:div w:id="1893496812">
      <w:marLeft w:val="0"/>
      <w:marRight w:val="0"/>
      <w:marTop w:val="0"/>
      <w:marBottom w:val="0"/>
      <w:divBdr>
        <w:top w:val="none" w:sz="0" w:space="0" w:color="auto"/>
        <w:left w:val="none" w:sz="0" w:space="0" w:color="auto"/>
        <w:bottom w:val="none" w:sz="0" w:space="0" w:color="auto"/>
        <w:right w:val="none" w:sz="0" w:space="0" w:color="auto"/>
      </w:divBdr>
    </w:div>
    <w:div w:id="1893496813">
      <w:marLeft w:val="0"/>
      <w:marRight w:val="0"/>
      <w:marTop w:val="0"/>
      <w:marBottom w:val="0"/>
      <w:divBdr>
        <w:top w:val="none" w:sz="0" w:space="0" w:color="auto"/>
        <w:left w:val="none" w:sz="0" w:space="0" w:color="auto"/>
        <w:bottom w:val="none" w:sz="0" w:space="0" w:color="auto"/>
        <w:right w:val="none" w:sz="0" w:space="0" w:color="auto"/>
      </w:divBdr>
    </w:div>
    <w:div w:id="1893496814">
      <w:marLeft w:val="0"/>
      <w:marRight w:val="0"/>
      <w:marTop w:val="0"/>
      <w:marBottom w:val="0"/>
      <w:divBdr>
        <w:top w:val="none" w:sz="0" w:space="0" w:color="auto"/>
        <w:left w:val="none" w:sz="0" w:space="0" w:color="auto"/>
        <w:bottom w:val="none" w:sz="0" w:space="0" w:color="auto"/>
        <w:right w:val="none" w:sz="0" w:space="0" w:color="auto"/>
      </w:divBdr>
    </w:div>
    <w:div w:id="1893496815">
      <w:marLeft w:val="0"/>
      <w:marRight w:val="0"/>
      <w:marTop w:val="0"/>
      <w:marBottom w:val="0"/>
      <w:divBdr>
        <w:top w:val="none" w:sz="0" w:space="0" w:color="auto"/>
        <w:left w:val="none" w:sz="0" w:space="0" w:color="auto"/>
        <w:bottom w:val="none" w:sz="0" w:space="0" w:color="auto"/>
        <w:right w:val="none" w:sz="0" w:space="0" w:color="auto"/>
      </w:divBdr>
    </w:div>
    <w:div w:id="1893496816">
      <w:marLeft w:val="0"/>
      <w:marRight w:val="0"/>
      <w:marTop w:val="0"/>
      <w:marBottom w:val="0"/>
      <w:divBdr>
        <w:top w:val="none" w:sz="0" w:space="0" w:color="auto"/>
        <w:left w:val="none" w:sz="0" w:space="0" w:color="auto"/>
        <w:bottom w:val="none" w:sz="0" w:space="0" w:color="auto"/>
        <w:right w:val="none" w:sz="0" w:space="0" w:color="auto"/>
      </w:divBdr>
    </w:div>
    <w:div w:id="1893496817">
      <w:marLeft w:val="0"/>
      <w:marRight w:val="0"/>
      <w:marTop w:val="0"/>
      <w:marBottom w:val="0"/>
      <w:divBdr>
        <w:top w:val="none" w:sz="0" w:space="0" w:color="auto"/>
        <w:left w:val="none" w:sz="0" w:space="0" w:color="auto"/>
        <w:bottom w:val="none" w:sz="0" w:space="0" w:color="auto"/>
        <w:right w:val="none" w:sz="0" w:space="0" w:color="auto"/>
      </w:divBdr>
    </w:div>
    <w:div w:id="1893496818">
      <w:marLeft w:val="0"/>
      <w:marRight w:val="0"/>
      <w:marTop w:val="0"/>
      <w:marBottom w:val="0"/>
      <w:divBdr>
        <w:top w:val="none" w:sz="0" w:space="0" w:color="auto"/>
        <w:left w:val="none" w:sz="0" w:space="0" w:color="auto"/>
        <w:bottom w:val="none" w:sz="0" w:space="0" w:color="auto"/>
        <w:right w:val="none" w:sz="0" w:space="0" w:color="auto"/>
      </w:divBdr>
    </w:div>
    <w:div w:id="1893496819">
      <w:marLeft w:val="0"/>
      <w:marRight w:val="0"/>
      <w:marTop w:val="0"/>
      <w:marBottom w:val="0"/>
      <w:divBdr>
        <w:top w:val="none" w:sz="0" w:space="0" w:color="auto"/>
        <w:left w:val="none" w:sz="0" w:space="0" w:color="auto"/>
        <w:bottom w:val="none" w:sz="0" w:space="0" w:color="auto"/>
        <w:right w:val="none" w:sz="0" w:space="0" w:color="auto"/>
      </w:divBdr>
    </w:div>
    <w:div w:id="1893496820">
      <w:marLeft w:val="0"/>
      <w:marRight w:val="0"/>
      <w:marTop w:val="0"/>
      <w:marBottom w:val="0"/>
      <w:divBdr>
        <w:top w:val="none" w:sz="0" w:space="0" w:color="auto"/>
        <w:left w:val="none" w:sz="0" w:space="0" w:color="auto"/>
        <w:bottom w:val="none" w:sz="0" w:space="0" w:color="auto"/>
        <w:right w:val="none" w:sz="0" w:space="0" w:color="auto"/>
      </w:divBdr>
    </w:div>
    <w:div w:id="207212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andriadinsps@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jpeg"/><Relationship Id="rId5" Type="http://schemas.openxmlformats.org/officeDocument/2006/relationships/hyperlink" Target="mailto:https:" TargetMode="External"/><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D1405-DFFE-43DE-A1BB-61E64137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3894</Words>
  <Characters>22196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Besture Template</vt:lpstr>
    </vt:vector>
  </TitlesOfParts>
  <Company/>
  <LinksUpToDate>false</LinksUpToDate>
  <CharactersWithSpaces>26038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Besture Template</dc:title>
  <dc:subject>LAW</dc:subject>
  <dc:creator>Tri Andi</dc:creator>
  <cp:keywords/>
  <dc:description/>
  <cp:lastModifiedBy>W 10</cp:lastModifiedBy>
  <cp:revision>5</cp:revision>
  <cp:lastPrinted>2018-05-11T05:09:00Z</cp:lastPrinted>
  <dcterms:created xsi:type="dcterms:W3CDTF">2025-03-22T09:32:00Z</dcterms:created>
  <dcterms:modified xsi:type="dcterms:W3CDTF">2025-03-22T17:09:00Z</dcterms:modified>
  <cp:category>LAW</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http://csl.mendeley.com/styles/643392931/apa-3</vt:lpwstr>
  </property>
  <property fmtid="{D5CDD505-2E9C-101B-9397-08002B2CF9AE}" pid="5" name="Mendeley Recent Style Name 1_1">
    <vt:lpwstr>American Psychological Association 7th edition - tampa kurung tahun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http://www.zotero.org/styles/turabian-fullnote-bibliography</vt:lpwstr>
  </property>
  <property fmtid="{D5CDD505-2E9C-101B-9397-08002B2CF9AE}" pid="17" name="Mendeley Recent Style Name 7_1">
    <vt:lpwstr>Turabian 8th edition (full note)</vt:lpwstr>
  </property>
  <property fmtid="{D5CDD505-2E9C-101B-9397-08002B2CF9AE}" pid="18" name="Mendeley Recent Style Id 8_1">
    <vt:lpwstr>http://www.zotero.org/styles/turabian-author-date</vt:lpwstr>
  </property>
  <property fmtid="{D5CDD505-2E9C-101B-9397-08002B2CF9AE}" pid="19" name="Mendeley Recent Style Name 8_1">
    <vt:lpwstr>Turabian 9th edition (author-date)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79310f0f-bcb0-3824-ac00-bf121a1f4d11</vt:lpwstr>
  </property>
  <property fmtid="{D5CDD505-2E9C-101B-9397-08002B2CF9AE}" pid="24" name="Mendeley Citation Style_1">
    <vt:lpwstr>http://www.zotero.org/styles/chicago-fullnote-bibliography</vt:lpwstr>
  </property>
</Properties>
</file>